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5A_344/2025 vom 8. Mai 2025</w:t>
      </w:r>
    </w:p>
    <w:p>
      <w:r>
        <w:t>Bundesgericht, 2025-05-08, DE</w:t>
      </w:r>
    </w:p>
    <w:p>
      <w:r>
        <w:rPr>
          <w:b/>
        </w:rPr>
        <w:t xml:space="preserve">Quelle: </w:t>
      </w:r>
      <w:r>
        <w:t>https://mcp.opencaselaw.ch/entscheid/bger_5A_344_2025</w:t>
      </w:r>
    </w:p>
    <w:p>
      <w:r>
        <w:t>FR: TF 5A_344/2025 du 8 mai 2025</w:t>
      </w:r>
    </w:p>
    <w:p>
      <w:r>
        <w:t>IT: TF 5A_344/2025 del 8 maggio 2025</w:t>
      </w:r>
    </w:p>
    <w:p>
      <w:pPr>
        <w:pStyle w:val="Heading2"/>
      </w:pPr>
      <w:r>
        <w:t>Erwägungen</w:t>
      </w:r>
    </w:p>
    <w:p>
      <w:r>
        <w:rPr>
          <w:b/>
        </w:rPr>
        <w:t>E. 1</w:t>
      </w:r>
    </w:p>
    <w:p>
      <w:r>
        <w:t>Die Vorinstanz ist auf das Rechtsmittel des Beschwerdeführers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 Im Übrigen ist zu beachten, dass das Bundesgericht grundsätzlich an die Feststellungen im angefochtenen Entscheid gebunden ist ( Art. 105 Abs. 1 BGG ) und im bundesgerichtlichen Verfahren keine neuen Tatsachenvorbringen möglich sind ( Art. 99 Abs. 1 BGG ).</w:t>
      </w:r>
    </w:p>
    <w:p>
      <w:r>
        <w:rPr>
          <w:b/>
        </w:rPr>
        <w:t>E. 2</w:t>
      </w:r>
    </w:p>
    <w:p>
      <w:r>
        <w:t>Der Beschwerdeführer äussert sich nicht zu den Nichteintretenserwägungen des angefochtenen Entscheides und legt nicht dar, inwiefern diese nicht rechtskonform sein sollen. Vielmehr macht er geltend, er habe die Obhut und könne für den Unterhalt nicht selbst aufkommen, während die Mutter keine Invalidität habe, neu verheiratet sei und wieder arbeite. Damit bezieht sich der Beschwerdeführer sinngemäss auf die (an sich ausserhalb des vor Obergericht möglichen Berufungsgegenstandes stehende) subsidiäre Begründung im angefochtenen Entscheid, wonach er ohnehin keine veränderten Verhältnisse vortrage und deshalb seinem Anliegen auch in der Sache selbst kein Erfolg hätte beschieden sein können. Mithin versucht er, allfällige Versäumnisse im obergerichtlichen Verfahren nachzuholen; indes sind im bundesgerichtlichen Verfahren grundsätzlich keine neuen Tatsachenvorbringen zulässig.</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