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5A_343/2017 vom 12. Juni 2017</w:t>
      </w:r>
    </w:p>
    <w:p>
      <w:r>
        <w:t>Bundesgericht, 2017-06-12, DE</w:t>
      </w:r>
    </w:p>
    <w:p>
      <w:r>
        <w:rPr>
          <w:b/>
        </w:rPr>
        <w:t xml:space="preserve">Quelle: </w:t>
      </w:r>
      <w:r>
        <w:t>https://mcp.opencaselaw.ch/entscheid/bger_5A_343_2017</w:t>
      </w:r>
    </w:p>
    <w:p>
      <w:r>
        <w:t>FR: TF 5A_343/2017 du 12 juin 2017</w:t>
      </w:r>
    </w:p>
    <w:p>
      <w:r>
        <w:t>IT: TF 5A_343/2017 del 12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Rechtsverweigerung oder Rechtsverzögerung kann jederzeit Beschwerde geführt werden ( Art. 94 BGG ). Indes hat das Obergericht zwischenzeitlich über die kantonale Beschwerde entschieden und insofern ist die vor Bundesgericht gegen das Obergericht erhobene Beschwerde wegen Rechtsverweigerung bzw. Rechtsverzögerung gegenstandslos geworden.</w:t>
      </w:r>
    </w:p>
    <w:p>
      <w:r>
        <w:rPr>
          <w:b/>
        </w:rPr>
        <w:t>E. 2</w:t>
      </w:r>
    </w:p>
    <w:p>
      <w:r>
        <w:t>Infolge Gegenstandslosigkeit ist das Verfahren in Anwendung von Art. 71 BGG i.V.m. Art. 72 BZP abzuschreiben. Hierfür zuständig ist das präsidierende bzw. instruierende Mitglied ( Art. 32 Abs. 2 BGG ).</w:t>
      </w:r>
    </w:p>
    <w:p>
      <w:r>
        <w:rPr>
          <w:b/>
        </w:rPr>
        <w:t>E. 3</w:t>
      </w:r>
    </w:p>
    <w:p>
      <w:r>
        <w:t>Es werden ausnahmsweise keine Kosten erhoben ( Art. 66 Abs. 1 BGG ). Damit ist das Gesuch um unentgeltliche Rechtspflege gegenstandslos, zumal keine Parteientschädigung in Betracht fällt ( BGE 125 II 518 E. 5b S. 519; 129 II 297 E. 5 S. 304).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