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5A_342/2026 vom 23. April 2026</w:t>
      </w:r>
    </w:p>
    <w:p>
      <w:r>
        <w:t>Bundesgericht, 2026-04-23, DE</w:t>
      </w:r>
    </w:p>
    <w:p>
      <w:r>
        <w:rPr>
          <w:b/>
        </w:rPr>
        <w:t xml:space="preserve">Quelle: </w:t>
      </w:r>
      <w:r>
        <w:t>https://mcp.opencaselaw.ch/entscheid/bger_5A_342_2026</w:t>
      </w:r>
    </w:p>
    <w:p>
      <w:r>
        <w:t>FR: TF 5A_342/2026 du 23 avril 2026</w:t>
      </w:r>
    </w:p>
    <w:p>
      <w:r>
        <w:t>IT: TF 5A_342/2026 del 23 aprile 2026</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In rechtlicher Hinsicht hat die Beschwerde eine Begründung zu enthalten, in welcher in gedrängter Form dargelegt wird, inwiefern der angefochtene Entscheid Recht verletzt ( Art. 42 Abs. 2 BGG ), was eine sachbezogene Auseinandersetzung mit dessen Begründung erfordert (vgl. zum Ganzen BGE 140 III 115 E. 2; 142 III 364 E. 2.4).</w:t>
      </w:r>
    </w:p>
    <w:p>
      <w:r>
        <w:rPr>
          <w:b/>
        </w:rPr>
        <w:t>E. 2</w:t>
      </w:r>
    </w:p>
    <w:p>
      <w:r>
        <w:t>Das Appellationsgericht hat erwogen, der gerichtliche Vergleich sei in Anwesenheit je der Parteivertreter nach eingehender persönlicher Befragung durch das Gericht und mehrmaliger Möglichkeit zur Rücksprache mit der Parteivertretung ergangen. Es sei nicht ersichtlich, inwiefern der Vergleich nicht aus freiem Willen geschlossen worden wäre. Insbesondere sei keine widerrechtliche Drohung im Sinn von Art. 29 OR gegeben, wenn das Zivilgericht die Beschwerdeführerin mit dem möglichen Ausgang des Verfahrens im Urteilsfall konfrontiert habe. Sodann sei die vergleichsweise gefundene Lösung auch inhaltlich angemessen (wobei sich das Appellationsgericht ausführlich zu den Berechnungsgrundlagen äusserte).</w:t>
      </w:r>
    </w:p>
    <w:p>
      <w:r>
        <w:rPr>
          <w:b/>
        </w:rPr>
        <w:t>E. 3</w:t>
      </w:r>
    </w:p>
    <w:p>
      <w:r>
        <w:t>Die Beschwerdeführerin übergeht, dass der angefochtene Entscheid nicht autonom den Unterhalt festsetzt, sondern eine Angemessenheitsprüfung bezüglich der im Sinn von Art. 287 Abs. 1 und 3 ZGB i.V.m. Art. 241 ZPO gerichtlich genehmigten Vereinbarung enthält. Diesbezüglich ist mit den stichwortartigen Behauptungen (es bestehe ADHS-Bedarf; der monatliche Bedarf des Beschwerdegegners sei hoch angesetzt und die eigene finanzielle Lage ignoriert worden; die lange Verfahrensdauer sei nicht berücksichtigt worden und wirke sich zugunsten des Beschwerdegegners aus; das Kind müsse geschützt werden u.ä.m.) weder eine willkürliche Sachverhaltsfeststellung noch eine Rechtsverletzung dargetan.</w:t>
      </w:r>
    </w:p>
    <w:p>
      <w:r>
        <w:t>Abstrakt bleiben sodann die im Kontext mit dem Abschluss des Vergleiches stehenden Aussagen der Beschwerdeführerin, sie habe diesen nicht aus freiem Willen unterschrieben und ihre damalige Rechtsanwältin habe sie nicht geschützt und falsch beraten. Damit ist weder eine willkürliche Sachverhaltsfeststellung betreffend die tatsächlichen Voraussetzungen für einen Willensmangel noch eine diesbezügliche falsche Rechtsanwendung dargelegt.</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