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5A_342/2025 vom 8. Mai 2025</w:t>
      </w:r>
    </w:p>
    <w:p>
      <w:r>
        <w:t>Bundesgericht, 2025-05-08, DE</w:t>
      </w:r>
    </w:p>
    <w:p>
      <w:r>
        <w:rPr>
          <w:b/>
        </w:rPr>
        <w:t xml:space="preserve">Quelle: </w:t>
      </w:r>
      <w:r>
        <w:t>https://mcp.opencaselaw.ch/entscheid/bger_5A_342_2025</w:t>
      </w:r>
    </w:p>
    <w:p>
      <w:r>
        <w:t>FR: TF 5A_342/2025 du 8 mai 2025</w:t>
      </w:r>
    </w:p>
    <w:p>
      <w:r>
        <w:t>IT: TF 5A_342/2025 del 8 maggio 2025</w:t>
      </w:r>
    </w:p>
    <w:p>
      <w:pPr>
        <w:pStyle w:val="Heading2"/>
      </w:pPr>
      <w:r>
        <w:t>Erwägungen</w:t>
      </w:r>
    </w:p>
    <w:p>
      <w:r>
        <w:rPr>
          <w:b/>
        </w:rPr>
        <w:t>E. 1</w:t>
      </w:r>
    </w:p>
    <w:p>
      <w:r>
        <w:t>Die Beschwerde hat sich auf den Gegenstand zu beschränken, wie er von der Vorinstanz beurteilt wurde ( BGE 136 II 457 E. 4.2; 136 V 362 E. 3.4.2 ; 142 I 155 E. 4.4.2), mithin auf die definitive Errichtung einer Beistandschaft.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 Der von der Vorinstanz festgestellte Sachverhalt ist für das Bundesgericht grundsätzlich verbindlich ( Art. 105 Abs. 1 BGG ) und diesbezüglich kann einzig eine willkürliche Sachverhaltsfeststellung gerügt werden, was entsprechend substanziierte Willkürrügen voraussetzt ( Art. 97 Abs. 1 und Art. 106 Abs. 2 BGG ; BGE 142 III 364 E. 2.4; 149 III 81 E. 1.3).</w:t>
      </w:r>
    </w:p>
    <w:p>
      <w:r>
        <w:rPr>
          <w:b/>
        </w:rPr>
        <w:t>E. 2</w:t>
      </w:r>
    </w:p>
    <w:p>
      <w:r>
        <w:t>Die Beschwerdeführerin äussert sich, grossenteils am möglichen Anfechtungsgegenstand vorbei, in appellatorischer Weise zu verschiedenen Sachverhalten und sie erhebt Anschuldigungen gegen verschiedenen Behörden (-Mitglieder). Eine konkrete Bezugnahme auf die Erwägungen des angefochtenen Entscheides und eine Darlegung, inwiefern Recht verletzt sein soll, ist nicht auszumachen.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