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342/2021 vom 14. Mai 2021</w:t>
      </w:r>
    </w:p>
    <w:p>
      <w:r>
        <w:t>Bundesgericht, 2021-05-14, IT</w:t>
      </w:r>
    </w:p>
    <w:p>
      <w:r>
        <w:rPr>
          <w:b/>
        </w:rPr>
        <w:t xml:space="preserve">Quelle: </w:t>
      </w:r>
      <w:r>
        <w:t>https://mcp.opencaselaw.ch/entscheid/bger_5A_342_2021</w:t>
      </w:r>
    </w:p>
    <w:p>
      <w:r>
        <w:t>FR: TF 5A 342/2021 du 14 mai 2021</w:t>
      </w:r>
    </w:p>
    <w:p>
      <w:r>
        <w:t>IT: TF 5A 342/2021 del 14 maggio 2021</w:t>
      </w:r>
    </w:p>
    <w:p>
      <w:pPr>
        <w:pStyle w:val="Heading2"/>
      </w:pPr>
      <w:r>
        <w:t>Regeste</w:t>
      </w:r>
    </w:p>
    <w:p>
      <w:r>
        <w:t>ritardata giustizia (contestazione di delibere assembleari) | Diritti reali</w:t>
      </w:r>
    </w:p>
    <w:p>
      <w:pPr>
        <w:pStyle w:val="Heading2"/>
      </w:pPr>
      <w:r>
        <w:t>Erwägungen</w:t>
      </w:r>
    </w:p>
    <w:p>
      <w:r>
        <w:rPr>
          <w:b/>
        </w:rPr>
        <w:t>E. 1</w:t>
      </w:r>
    </w:p>
    <w:p>
      <w:r>
        <w:t>Con istanza di conciliazione 3 maggio 2019 i coniugi A.A.________ e B.A.________ (comproprietari della proprietà per piani n. 28090 della Residenza D.________ sita sul fondo n. 345 RFD di X.________) hanno convenuto la C.________ SA (amministratrice della proprietà per piani) contestando le delibere dell'assemblea generale ordinaria dei comproprietari del 4 aprile 2019. All'udienza di conciliazione del 26 settembre 2019 il Giudice di pace del circolo di Lugano Ovest ha preso atto dell'assenza della convenuta e ha dichiarato decaduta la conciliazione. Il 15 ottobre 2019 egli ha rilasciato l'autorizzazione ad agire, ponendo le spese processuali di fr. 70.-- a carico dei coniugi A.________. Con reclamo per denegata giustizia 13 febbraio 2021 B.A.________ si è rivolta alla Camera civile dei reclami del Tribunale d'appello del Cantone Ticino, facendo valere di aver dato seguito (con il marito A.A.________) all'autorizzazione ad agire e introdotto la petizione in data 10 gennaio 2020 senza però "nessuna evoluzione procedurale dalla Giudicatura di pace di Lugano Ovest". Mediante sentenza 29 marzo 2021 la Camera civile dei reclami (dopo aver respinto la richiesta di astensione rivolta al suo Presidente) ha invitato il Giudice di pace "ad aprire formalmente la procedura rubricando la petizione e decidendo, secondo il suo potere di apprezzamento, come trattarla dandone comunicazione alle parti".</w:t>
      </w:r>
    </w:p>
    <w:p>
      <w:r>
        <w:rPr>
          <w:b/>
        </w:rPr>
        <w:t>E. 2</w:t>
      </w:r>
    </w:p>
    <w:p>
      <w:r>
        <w:t>Con ricorso 3 maggio 2021 B.A.________ ha impugnato la sentenza cantonale dinanzi al Tribunale federale, chiedendo di riformarla annullando le spese processuali fissate dal Giudice di pace ("poiché non considerate dalla Camera civile dei reclami del Tribunale d'appello rispetto all'accoglimento del reclamo cantonale"). Ella ha anche chiesto di conoscere in via anticipata l'ammontare delle spese giudiziarie e la composizione della Corte giudicante e di essere posta al beneficio dell'assistenza giudiziaria, nonché invitato i Giudici federali Herrmann (Presidente), Escher, von Werdt e Schöbi e la Cancelliera Antonini ad astenersi dal giudizio per avere già partecipato a decisioni precedenti. Le sue ulteriori conclusioni (volte per esempio all'assegnazione di un risarcimento danni oppure alla pronuncia di misure disciplinari nei confronti di curatori e magistrati) risultano invece di primo acchito inammissibili, poiché esulano dall'oggetto del presente litigio. Non sono state chieste determinazioni sul ricorso.</w:t>
      </w:r>
    </w:p>
    <w:p>
      <w:r>
        <w:rPr>
          <w:b/>
        </w:rPr>
        <w:t>E. 3</w:t>
      </w:r>
    </w:p>
    <w:p>
      <w:r>
        <w:t>Per costante giurisprudenza, il Tribunale federale non fa precedere le sue decisioni da una comunicazione circa la composizione della Corte giudicante ( DTF 144 I 37 consid. 2.3.3 con rinvii). La domanda di "a 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 Giudici federali Escher, von Werdt e Schöbi non sono in ogni modo chiamati a statuire sul rimedio all'esame.</w:t>
      </w:r>
    </w:p>
    <w:p>
      <w:r>
        <w:rPr>
          <w:b/>
        </w:rPr>
        <w:t>E. 4</w:t>
      </w:r>
    </w:p>
    <w:p>
      <w:r>
        <w:t>La sentenza cantonale è stata pronunciata in una causa di carattere pecuniario il cui valore di lite (inferiore a fr. 10'000.-- secondo gli accertamenti dell'autorità precedente; v. art. 48 lett. d n. 2 della legge ticinese del 10 maggio 2006 sull'organizzazione giudiziaria [LOG; RL/TI 177.100]) non raggiunge la soglia di fr. 30'000.-- prevista dall' art. 74 cpv. 1 lett. b LTF e, contrariamente a quanto pretende la ricorrente, la controversia non concerne una questione di diritto di importanza fondamentale ai sensi dell' art. 74 cpv. 2 lett. a LTF . La sentenza impugnata è quindi unicamente suscettiva di un ricorso sussidiario in materia costituzionale (art. 113 segg. LTF).</w:t>
      </w:r>
    </w:p>
    <w:p>
      <w:r>
        <w:rPr>
          <w:b/>
        </w:rPr>
        <w:t>E. 4.1</w:t>
      </w:r>
    </w:p>
    <w:p>
      <w:r>
        <w:t>Il ricorso va dichiarato di primo acchito irricevibile nella misura in cui non discute la decisione di ultima istanza cantonale (v. combinati art. 114 e 75 cpv. 1 LTF ), bensì l'operato di altre autorità (anche in cause del tutto estranee alla presente).</w:t>
      </w:r>
    </w:p>
    <w:p>
      <w:r>
        <w:rPr>
          <w:b/>
        </w:rPr>
        <w:t>E. 4.2</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 Ora, nella inutilmente prolissa impugnativa all'esame (31 pagine), la ricorrente accenna alla violazione di alcune garanzie costituzionali (in particolare degli art. 9, 29 cpv. 1 e 2 e 30 cpv. 1 Cost. e 6 n. 1 CEDU), ma le sue generiche e confuse censure non soddisfano minimamente le severe esigenze di motivazione dei combinati art. 117 e 106 cpv. 2 LTF .</w:t>
      </w:r>
    </w:p>
    <w:p>
      <w:r>
        <w:rPr>
          <w:b/>
        </w:rPr>
        <w:t>E. 5</w:t>
      </w:r>
    </w:p>
    <w:p>
      <w:r>
        <w:t>Da quanto precede discende che il ricorso, manifestamente inammissibile e manifestamente non motivato in modo sufficiente, può essere deciso nella procedura semplificata dei combinati art. 117 e 108 cpv. 1 lett. a-b LTF. C onsiderate le circostanze del caso concreto si può eccezionalmente rinunciare al prelievo di spese giudiziarie per la sede federale (art. 66 cpv. 1 seconda frase LTF). Ciò rende priva di oggetto la domanda di assistenza giudiziaria. Non si giustifica assegnare né ripetibili né " in 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