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342/2017 vom 4. Mai 2018</w:t>
      </w:r>
    </w:p>
    <w:p>
      <w:r>
        <w:t>Bundesgericht, 2018-05-04, DE</w:t>
      </w:r>
    </w:p>
    <w:p>
      <w:r>
        <w:rPr>
          <w:b/>
        </w:rPr>
        <w:t xml:space="preserve">Quelle: </w:t>
      </w:r>
      <w:r>
        <w:t>https://mcp.opencaselaw.ch/entscheid/bger_5A_342_2017</w:t>
      </w:r>
    </w:p>
    <w:p>
      <w:r>
        <w:t>FR: TF 5A 342/2017 du 4 mai 2018</w:t>
      </w:r>
    </w:p>
    <w:p>
      <w:r>
        <w:t>IT: TF 5A 342/2017 del 4 maggio 2018</w:t>
      </w:r>
    </w:p>
    <w:p>
      <w:pPr>
        <w:pStyle w:val="Heading2"/>
      </w:pPr>
      <w:r>
        <w:t>Regeste</w:t>
      </w:r>
    </w:p>
    <w:p>
      <w:r>
        <w:t>Erwachsenenschutz (Entschädigung für die Mandatsführung) | Familienrecht</w:t>
      </w:r>
    </w:p>
    <w:p>
      <w:pPr>
        <w:pStyle w:val="Heading2"/>
      </w:pPr>
      <w:r>
        <w:t>Erwägungen</w:t>
      </w:r>
    </w:p>
    <w:p>
      <w:r>
        <w:rPr>
          <w:b/>
        </w:rPr>
        <w:t>E. 1.1</w:t>
      </w:r>
    </w:p>
    <w:p>
      <w:r>
        <w:t>Entschieden hat vorliegend das Verwaltungsgericht als letzte kantonale Instanz ( Art. 75 Abs. 1 BGG ). Die Beschwerde nach Art. 72 ff. BGG ist nicht nur gegen Urteile in Zivilsachen zulässig, sondern auch gegen öffentlich-rechtliche Entscheide, die in unmittelbarem Zusammenhang mit Zivilrecht stehen, insbesondere gegen Entscheide auf dem Gebiet des Kindes- und Erwachsenenschutzes (Art. 72 Abs. 2 Bst. b Ziff. 6 BGG). Die Angelegenheit ist eine vermögensrechtliche (vgl. Urteil 5A_503/2016 vom 23. Dezember 2016 E. 1.1) und der Streitwert von Fr. 30'000.-- ist erreicht (Art. 74 Abs. 1 Bst. b i.V.m. Art. 51 Abs. 1 Bst. a BGG).</w:t>
      </w:r>
    </w:p>
    <w:p>
      <w:r>
        <w:rPr>
          <w:b/>
        </w:rPr>
        <w:t>E. 1.2</w:t>
      </w:r>
    </w:p>
    <w:p>
      <w:r>
        <w:t>Mit Beschwerde in Zivilsachen kann die Verletzung von Bundesrecht gerügt werden (Art. 95 Bst. a BGG). Das Bundesgericht wendet das Recht von Amtes wegen an ( Art. 106 Abs. 1 BGG ). Es ist deshalb weder durch die in der Beschwerde erhobenen Argumente noch durch die vorinstanzliche Begründung eingeschränkt; es kann eine Beschwerde aus einem anderen als dem geltend gemachten Grund gutheissen, eine Beschwerde aber auch mit einer von der vorinstanzlichen Argumentation abweichenden Begründung abweisen ( BGE 141 III 426 E. 2.4 mit Hinweisen). Angesichts der in Art. 42 Abs. 1 und 2 BGG festgelegten allgemeinen Begründungspflicht prüft das Bundesgericht allerdings grundsätzlich nur die erhobenen Rügen. Es ist nicht gehalten, wie eine erstinstanzliche Behörde alle sich stellenden Rechtsfragen zu untersuchen, soweit solche nicht (mehr) vorgetragen werden ( BGE 142 III 364 E. 2.4 mit Hinweisen).</w:t>
      </w:r>
    </w:p>
    <w:p>
      <w:r>
        <w:rPr>
          <w:b/>
        </w:rPr>
        <w:t>E. 1.3</w:t>
      </w:r>
    </w:p>
    <w:p>
      <w:r>
        <w:t>Das Bundesgericht legt seinem Urteil den von der Vorinstanz festgestellten Sachverhalt zugrunde ( Art. 105 Abs. 1 BGG ). Diesbezüglich kann die rechtsuchende Partei nur vorbringen, die vorinstanzlichen Feststellungen seien offensichtlich unrichtig ( Art. 97 Abs. 1 BGG ), das heisst willkürlich ( BGE 140 III 264 E. 2.3 mit Hinweis), oder würden auf einer anderen Rechtsverletzung im Sinne von Art. 95 BGG (z.B. Art. 29 Abs. 2 BV oder Art. 8 ZGB ) beruhen (Urteil 5A_182/2017 vom 2. Februar 2018 E. 2). Überdies muss die Behebung des Mangels für den Ausgang des Verfahrens entscheidend sein ( Art. 97 Abs. 1 BGG ). Die Beschwerdeführerin, welche die Sachverhaltsfeststellung der Vorinstanz anfechten will, muss klar und substantiiert aufzeigen, inwiefern diese Voraussetzungen erfüllt sein sollen (vgl. BGE 136 II 508 E. 1.2; 133 II 249 E. 1.4.3). Demgegenüber genügt es nicht, einzelne Beweise anzuführen, die anders als im angefochtenen Entscheid gewichtet werden sollen, und dem Bundesgericht in appellatorischer Kritik die eigene Auffassung zu unterbreiten, als ob diesem eine freie Sachverhaltsprüfung zukäme (vgl. BGE 135 II 356 E. 4.2.1 mit Hinweis). Ebenfalls genügt es nicht, allgemein auf die kantonalen Akten zu verweisen. Vielmehr muss das Aktenstück, dessen willkürliche Würdigung geltend gemacht wird, genau bezeichnet werden (vgl. Urteil 5A_611/2017 vom 31. Januar 2018 E. 6.2). Entsprechend ist vorliegend auf die Beschwerde nicht einzutreten, soweit bloss in allgemeiner Weise und mit einem allgemeinen Hinweis auf die Akten die Feststellungen der Vorinstanz gerügt oder die Würdigung bestimmter Beweismittel in allgemeiner Weise kritisiert werden. Demgegenüber ist auf die Beschwerde grundsätzlich einzutreten, soweit die Beschwerdeführerin eine falsche Anwendung von aArt. 416 ZGB und willkürliche Sachverhaltsfeststellungen sowie eine willkürliche Anwendung kommunaler Entschädigungsrichtlinien geltend macht.</w:t>
      </w:r>
    </w:p>
    <w:p>
      <w:r>
        <w:rPr>
          <w:b/>
        </w:rPr>
        <w:t>E. 2</w:t>
      </w:r>
    </w:p>
    <w:p>
      <w:r>
        <w:t>Kriterien für die Berechnung der Entschädigung a) für die persönliche Betreuung - Besteht für die betreute Person ein funktionierendes soziales Beziehungsnetz, oder muss dies weitgehend durch die Betreuungsperson aufgefangen werden? - Ist die Wohnsituation stabil oder nicht? - Erfordern gesundheitliche Störungen/Behinderungen einen erheblichen Betreuungs-Mehraufwand? - Hat die betreute Person eine regelmässige Arbeit/Beschäftigung, oder fehlt weitgehend eine Tagesstruktur? b) für den finanziell-administrativen Aufwand - In welchem Ausmass hat die Betreuungsperson finanzielle Angelegenheiten für die betreute Person zu besorgen? - Erfordert die Vermögensverwaltung einen erheblichen Aufwand? - Entsteht ein erheblicher Aufwand für die Verwaltung von Liegenschaften? - Sind komplexe versicherungsrechtliche Angelegenheiten zu bearbeiten?</w:t>
      </w:r>
    </w:p>
    <w:p>
      <w:r>
        <w:rPr>
          <w:b/>
        </w:rPr>
        <w:t>E. 3</w:t>
      </w:r>
    </w:p>
    <w:p>
      <w:r>
        <w:t>Abweichungen / ausserordentliche Bemühungen In begründeten Fällen kann bei Ziff. 1 von den üblichen Beträgen abgewichen werden. Insbesondere kann die Vormundschaftskommission/Vormundschaftsbehörde die Betreuungsperson bei ausserordentlicher Beanspruchung oder für Bemühungen, die nicht zu deren eigentlichem Aufgabenkreis gehören, zusätzlich entschädigen, z.B. für: a) Wohnungsräumung b) Platzierung in einer Institution c) Einrichtung eines Haushaltes d) Liegenschaftenverkauf e) Erledigung von Todesformalitäten, Organisation der Bestattung</w:t>
      </w:r>
    </w:p>
    <w:p>
      <w:r>
        <w:rPr>
          <w:b/>
        </w:rPr>
        <w:t>E. 4</w:t>
      </w:r>
    </w:p>
    <w:p>
      <w:r>
        <w:t>Entschädigung für Fachpersonen Grundsätzlich gilt die Regelung gemäss den Ziff. 1 und 2 dieser Richtlinien. Sind mit der Massnahmenführung Aufgaben verbunden, die spezifische Fachkenntnisse voraussetzen, z.B. für juristische Arbeit, Prozessführung, Besorgung komplexer psychologischer oder finanzieller Angelegenheiten, können diese Bemühungen mittels detaillierter Honorarnote in Rechnung gestellt werden (z.B. Rechtsanwältinnen und Rechtsanwälte oder Treuhänder/-innen, Liegenschaftsverwalter/-innen, Psychologinnen und Psychologen, Mediatorinnen und Mediatoren, usw.). Dabei ist ein unterer Tarifansatz des entsprechendend Berufsverbandes anzuwenden. Muss eine Rechtsanwältin oder ein Rechtsanwalt für juristische Tätigkeit aus der Gemeindekasse entschädigt werden, ist der unterste Ansatz für den unentgeltlichen Rechtsbeistand gemäss Zuger Verordnung des Obergerichts über den Anwaltstarif, resp. Praxis des Kantonsgerichtes Zug anzuwenden (derzeit Fr. 200.-- pro Stunde / 2007).</w:t>
      </w:r>
    </w:p>
    <w:p>
      <w:r>
        <w:rPr>
          <w:b/>
        </w:rPr>
        <w:t>E. 4.1</w:t>
      </w:r>
    </w:p>
    <w:p>
      <w:r>
        <w:t>Bezüglich der Berechnungsweise der Entschädigung und eines allfälligen Stundenansatzes hat das Verwaltungsgericht sinngemäss festgehalten, es sei keine verbindliche Vereinbarung zwischen der Beschwerdeführerin und dem Bürgerrat U.________ über die stundenweise Entschädigung mit einem Stundenansatz von Fr. 165.-- zustande gekommen, weil die Gesprächsnotiz, auf die sich die Beschwerdeführerin berufe, von niemandem unterschrieben sei und die der entsprechenden Berechnung zugrunde liegende Vermischung von Amtspflichten und privater Mandatierung wesentlicher Grund für die Amtsenthebung gewesen sei (angefochtenes Urteil, E. 5.2.1 S. 24). Die Beschwerdeführerin hält diese Feststellungen für willkürlich (Beschwerdeschrift, Ziff. 18 S. 11 ff.). Was die Beschwerdeführerin vorbringt, vermag allerdings den Willkürvorwurf nicht zu belegen. Vielmehr würdigt sie das Schriftstück nur anders als die Vorinstanz und unterbreitet dem Bundesgericht in appellatorischer Kritik die eigene Auffassung, als ob diesem eine freie Sachverhaltsprüfung zukäme. Entsprechend ist auf diese Rüge nicht einzutreten (vgl. vorn E. 1.3). Die Beschwerdeführerin verkennt überdies die Rechtslage. Die Vormundschaftsbehörde handelte nicht rechtsgeschäftlich, sondern hoheitlich. Es geht folglich gar nicht darum zu prüfen, ob die Beschwerdeführerin und der Bürgerrat U.________ einen übereinstimmenden Willen bezüglich einer bestimmten Art der Honorierung hatten. Damit die Entschädigung verbindlich festgelegt ist, bedarf es vielmehr einer Verfügung des Bürgerrates als Vormundschaftsbehörde. Eine solche liegt nicht vor und ist auch zu Recht nicht behauptet. In der Gesprächsnotiz heisst es vielmehr am Ende wörtlich: "Nach Beschluss des Mandatsvertrages wird die Festlegung der Entschädigung für die Beiratschaft erfolgen." Es wurde folglich in dieser Gesprächsnotiz ausdrücklich festgehalten, dass über die Entschädigung der Beiratschaft noch nicht entschieden worden ist. Das Verwaltungsgericht hat damit das Vorliegen einer verbindlichen Festsetzung der Entschädigung nach Stunden mit einem bestimmten Ansatz durch die Vormundschaftsbehörde zu Recht verneint.</w:t>
      </w:r>
    </w:p>
    <w:p>
      <w:r>
        <w:rPr>
          <w:b/>
        </w:rPr>
        <w:t>E. 4.2.1</w:t>
      </w:r>
    </w:p>
    <w:p>
      <w:r>
        <w:t>Im Weiteren sieht die Beschwerdeführerin in der Pauschalentschädigung eine falsche Anwendung von aArt. 416 ZGB. Die Bestimmung verlange eine Entschädigung nach Aufwand, wenn ein solcher ausgewiesen sei. Die Feststellung, dass dieser nicht im Einzelnen festgestellt werden könne, sei willkürlich (Beschwerdeschrift, Ziff. 19 ff. S. 13 ff.). Bezüglich der Feststellung der Vorinstanz, die Stundenabrechnung der Beschwerdeführerin lasse keine genaue Abgrenzung zwischen eigentlicher amtlicher Tätigkeit und weiterer Betreuung der Verbeirateten zu, beschränken sich die Ausführungen in der Beschwerdeschrift auf eine allgemeine Darlegung des abweichenden Standpunktes der Beschwerdeführerin und auf appellatorische Kritik. Sie genügen den Anforderungen an eine Willkürrüge nicht, so dass darauf nicht einzutreten ist.</w:t>
      </w:r>
    </w:p>
    <w:p>
      <w:r>
        <w:rPr>
          <w:b/>
        </w:rPr>
        <w:t>E. 4.2.2</w:t>
      </w:r>
    </w:p>
    <w:p>
      <w:r>
        <w:t>Bei der Festsetzung der Entschädigung für die Mandatsführung nach aArt. 416 ZGB steht der Behörde ein gewisses Ermessen zu ( BGE 116 II 399 E. 4d; Urteil 5P.60/2000 vom 6. März 2000 E. 2b/bb). Die Entschädigung mit einer Pauschale ist namentlich dann sinnvoll, wenn die Beiständin nicht nur in ihren amtlichen Auftrag fallende, sondern auch weitere Leistungen erbracht hat, so dass eine genaue Abgrenzung als nicht möglich bzw. nicht sinnvoll erscheint. Von daher liegt es durchaus im Ermessen der Erwachsenenschutzbehörde, eine Pauschalentschädigung zuzusprechen, welche mit Blick auf die Komplexität des Mandats den fünffachen Betrag der in den Richtlinien maximal vorgesehenen Entschädigung beträgt.</w:t>
      </w:r>
    </w:p>
    <w:p>
      <w:r>
        <w:rPr>
          <w:b/>
        </w:rPr>
        <w:t>E. 4.3</w:t>
      </w:r>
    </w:p>
    <w:p>
      <w:r>
        <w:t>Die Beschwerdeführerin bemängelt schliesslich, dass nicht die für ihre berufliche Tätigkeit übliche Abrechnung nach Stunden zu einem bestimmten Tarif erfolgt sei (insb. Beschwerdeschrift, Ziff. 26 S. 20 ff.). Nach der bundesgerichtlichen Rechtsprechung zum bis Ende 2012 geltenden Erwachsenenschutzrecht ist in der Tat der für die entsprechende berufliche Tätigkeit üblicherweise geschuldete Betrag zu berechnen, wenn der Amtsträger eine dieser Tätigkeit entsprechende Leistung in seiner Funktion als Beistand erbringt ( BGE 116 II 399 E. 4b/cc und 4c; Urteil 5P.60/2000 vom 6. März 2000 E. 2b/bb). Das Verwaltungsgericht hat aber vorliegend festgestellt, dass die Beschwerdeführerin sehr unterschiedliche Leistungen erbracht hat. Überdies hat die Beschwerdeführerin in keiner Weise nachgewiesen, dass ihre besonderen Fachkenntnisse im Bereich der Finanzen, der Anlagen und Vermögensverwaltung für das vorliegende Mandat tatsächlich bedeutend waren. Nach ihren eigenen Sachverhaltsschilderungen ging es nicht um besondere Anlageentscheide. Vielmehr standen offenbar die Anfechtung der Errichtung einer liechtensteinischen Stiftung, der Abtretung von Rentenansprüchen und Ähnliches zur Diskussion. Hier wäre eher das Fachwissen einer Anwältin gefragt gewesen. Das ist die Beschwerdeführerin indessen gerade nicht. Insofern liegt es durchaus im Ermessen der Behörde, die Entschädigung nicht nach den Tarifen eines Finanzanalysten auszurichten, sondern eine Pauschale vorzusehen. Mit Blick darauf, dass es der Beschwerdeführerin nicht gelungen ist, nachzuweisen, welchen zeitlichen Aufwand sie konkret für das amtliche Mandat erbracht hat, ist auch nichts nachgewiesen, was die Entschädigung als Ganzes als unangemessen erscheinen liesse. Die Beschwerde erweist sich somit insofern als unbegründet.</w:t>
      </w:r>
    </w:p>
    <w:p>
      <w:r>
        <w:rPr>
          <w:b/>
        </w:rPr>
        <w:t>E. 5</w:t>
      </w:r>
    </w:p>
    <w:p>
      <w:r>
        <w:t>Schliesslich sieht die Beschwerdeführerin eine Verletzung von Bundesrecht darin, dass ihr auf dem festgesetzten Honorar kein Verzugszins zugesprochen worden sei. Sie habe es nicht zu verantworten, dass über die Entschädigung erst so spät entschieden worden sei (Beschwerdeschrift, Ziff. 28 ff. S. 23 ff.). Das Verwaltungsgericht ist in der Tat davon ausgegangen, dass bei öffentlich-rechtlichen Forderungen ab Verzug ein Verzugszins zu zahlen sei, eine Verzugszinsforderung aber auch verwirken könne und es sich die Beschwerdeführerin im Wesentlichen selber zuzuschreiben habe, wenn die Festsetzung der Entschädigung so lange gedauert habe (angefochtenes Urteil, E. 6 S. 25 f.).</w:t>
      </w:r>
    </w:p>
    <w:p>
      <w:r>
        <w:rPr>
          <w:b/>
        </w:rPr>
        <w:t>E. 5.1</w:t>
      </w:r>
    </w:p>
    <w:p>
      <w:r>
        <w:t>Die Entschädigung ist in erster Linie aus dem Vermögen der betroffenen Person zu begleichen (aArt. 416 ZGB). Es geht damit um eine Forderung zwischen zwei privaten Personen, auch wenn sie durch eine Behörde und für eine hoheitliche Tätigkeit festgesetzt wird. Die Qualifikation der Forderung als privat- oder öffentlichrechtlich braucht hier nicht entschieden zu werden, denn nach ständiger Rechtsprechung und herrschender Lehre gelten mangels einer besonderen gesetzlichen Regelung oder auf Grund eines qualifizierten Schweigens die privatrechtlichen Regeln bezüglich Verzugszins auch für öffentlich-rechtliche Schulden (vgl. BGE 143 II 37 E. 5.1 mit Hinweisen).</w:t>
      </w:r>
    </w:p>
    <w:p>
      <w:r>
        <w:rPr>
          <w:b/>
        </w:rPr>
        <w:t>E. 5.2</w:t>
      </w:r>
    </w:p>
    <w:p>
      <w:r>
        <w:t>Voraussetzung für den Schuldnerverzug ist in analoger Anwendung von Art. 102 Abs. 1 OR einerseits die Fälligkeit der Forderung, andererseits die Mahnung durch den Gläubiger. Vor der Fälligkeit kann kein Verzug eintreten. Die Mahnung ist eine an den Schuldner gerichtete Erklärung des Gläubigers, die zum Ausdruck bringt, dass er die Leistung ohne Säumnis verlangt ( BGE 143 II 37 E. 5.2.2 mit Hinweisen). Gemäss aArt. 416 ZGB wird die Entschädigung für jede Rechnungsperiode festgesetzt. Die Fälligkeit tritt erst mit dieser Festsetzung ein. Diese erfolgt aber grundsätzlich immer erst im Nachhinein für die jeweilige Berichtsperiode, d.h. in der Regel alle zwei Jahre. Die Fälligkeit alleine reicht überdies nicht für den Verzug. Vielmehr muss auch noch eine Mahnung erfolgen. Fraglich kann allenfalls sein, ob der Verzug auch dann eintritt, wenn der Mandatsträger die Festsetzung angemahnt und die Behörde die Festsetzung dennoch unterlassen hat. Dies braucht vorliegend aber nicht entschieden zu werden. Die Beschwerdeführerin hat ein solches Verhalten ihrerseits weder dargelegt noch bewiesen. Verzugszins ist somit mangels Verzugs nicht geschuldet. Die Beschwerde erweist sich somit auch in diesem Punkt als nicht begründet.</w:t>
      </w:r>
    </w:p>
    <w:p>
      <w:r>
        <w:rPr>
          <w:b/>
        </w:rPr>
        <w:t>E. 6</w:t>
      </w:r>
    </w:p>
    <w:p>
      <w:r>
        <w:t>Die Beschwerde erweist sich im Ergebnis als unbegründet, soweit darauf eingetreten werden kann. Gemäss diesem Verfahrensausgang hat die Beschwerdeführerin die Verfahrenskosten zu tragen ( Art. 66 Abs. 1 BGG ). Vernehmlassungen sind keine eingeholt worden, so dass auch keine Kosten entstanden sind, die zu entschädigen wären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