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5A_340/2024 vom 6. Juni 2024</w:t>
      </w:r>
    </w:p>
    <w:p>
      <w:r>
        <w:t>Bundesgericht, 2024-06-06, FR</w:t>
      </w:r>
    </w:p>
    <w:p>
      <w:r>
        <w:rPr>
          <w:b/>
        </w:rPr>
        <w:t xml:space="preserve">Quelle: </w:t>
      </w:r>
      <w:r>
        <w:t>https://mcp.opencaselaw.ch/entscheid/bger_5A_340_2024</w:t>
      </w:r>
    </w:p>
    <w:p>
      <w:r>
        <w:t>FR: TF 5A_340/2024 du 6 juin 2024</w:t>
      </w:r>
    </w:p>
    <w:p>
      <w:r>
        <w:t>IT: TF 5A_340/2024 del 6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"</w:t>
      </w:r>
    </w:p>
    <w:p>
      <w:r>
        <w:t>décision d'indemnisation " prise le 26 février 2024, le Tribunal de protection de l'enfant et de l'adulte du canton de Genève a libéré B.________ de ses fonctions de curatrice d'office de A.________ et fixé à 1'086 fr. 25 son indemnité; ce montant a été provisoirement laissé à la charge de l'État, avec la précision qu'il devrait être remboursé par la personne concernée dès qu'elle serait en mesure de le faire.</w:t>
      </w:r>
    </w:p>
    <w:p>
      <w:r>
        <w:t>Le 6 mars 2024, le prénommé a recouru contre cette décision en tant qu'elle portait sur la rémunération de sa curatrice.</w:t>
      </w:r>
    </w:p>
    <w:p>
      <w:r>
        <w:t>Par décision du 2 mai 2024, la Chambre de surveillance de la Cour de justice du canton de Genève a constaté la nullité de cette décision et renvoyé la cause à l'autorité inférieure pour nouvelle décision dans le sens des considérants. En bref, elle a retenu que la rémunération de la curatrice n'avait pas été arrêtée par un juge du Tribunal de protection, mais bien "</w:t>
      </w:r>
    </w:p>
    <w:p>
      <w:r>
        <w:t>par une employée ou fonctionnaire du secteur du contrôle de cette juridiction ", à savoir une personne incompétente.</w:t>
      </w:r>
    </w:p>
    <w:p>
      <w:r>
        <w:rPr>
          <w:b/>
        </w:rPr>
        <w:t>E. 2</w:t>
      </w:r>
    </w:p>
    <w:p>
      <w:r>
        <w:t>Par écriture expédiée le 30 mai 2024, la personne concernée exerce un recours au Tribunal fédéral à l'encontre des décisions du Tribunal de protection et de la Chambre de surveillance.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recourant, traitée en tant que recours en matière civile au sens de l'art. 72 al. 2 let. b ch. 6 LTF (parmi d'autres: arrêt 5A_966/2023 du 21 décembre 2023 consid. 4), est irrecevable à un double titre:</w:t>
      </w:r>
    </w:p>
    <w:p>
      <w:r>
        <w:rPr>
          <w:b/>
        </w:rPr>
        <w:t>E. 3.1</w:t>
      </w:r>
    </w:p>
    <w:p>
      <w:r>
        <w:t>Le recours est d'emblée irrecevable en tant qu'il est dirigé contre la décision du Tribunal de protection, seule la décision de la Chambre de surveillance étant sujette à recours ( art. 75 al. 1 LTF ).</w:t>
      </w:r>
    </w:p>
    <w:p>
      <w:r>
        <w:rPr>
          <w:b/>
        </w:rPr>
        <w:t>E. 3.2</w:t>
      </w:r>
    </w:p>
    <w:p>
      <w:r>
        <w:t>La décision de l'autorité précédente a été rendue dans une affaire pécuniaire (arrêt 5A_966/2023,</w:t>
      </w:r>
    </w:p>
    <w:p>
      <w:r>
        <w:t>ibid .), dont la valeur litigieuse n'atteint pas le seuil de 30'000 fr. ( art. 74 al. 1 let. b LTF ). Il s'ensuit que, faute d'une question juridique de principe ( art. 74 al. 2 let. a LTF ), le recours constitutionnel subsidiaire est seul recevable ici ( art. 113 ss LTF ). Or, l'écriture du recourant ne contient pas la moindre critique intelligible de nature constitutionnelle (art. 106 al. 2 [par renvoi de l' art. 117 LTF ] et art. 116 LTF ; ATF 136 I 332 consid. 2.1 et les citations).</w:t>
      </w:r>
    </w:p>
    <w:p>
      <w:r>
        <w:rPr>
          <w:b/>
        </w:rPr>
        <w:t>E. 4</w:t>
      </w:r>
    </w:p>
    <w:p>
      <w:r>
        <w:t>Vu ce qui précède, le présent recours doit être déclaré irrecevable par voie de procédure simplifiée ( art. 108 al. 1 let. a et b LTF ); il se justifie de renoncer à percevoir des frais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