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5A_340/2023 vom 17. Mai 2023</w:t>
      </w:r>
    </w:p>
    <w:p>
      <w:r>
        <w:t>Bundesgericht, 2023-05-17, FR</w:t>
      </w:r>
    </w:p>
    <w:p>
      <w:r>
        <w:rPr>
          <w:b/>
        </w:rPr>
        <w:t xml:space="preserve">Quelle: </w:t>
      </w:r>
      <w:r>
        <w:t>https://mcp.opencaselaw.ch/entscheid/bger_5A_340_2023</w:t>
      </w:r>
    </w:p>
    <w:p>
      <w:r>
        <w:t>FR: TF 5A_340/2023 du 17 mai 2023</w:t>
      </w:r>
    </w:p>
    <w:p>
      <w:r>
        <w:t>IT: TF 5A_340/2023 del 17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17 novembre 2022, la Présidente du Tribunal civil de l'arrondissement de l'Est vaudois a débouté A.A.________ des fins de sa demande tendant à ce que B.A.________ (</w:t>
      </w:r>
    </w:p>
    <w:p>
      <w:r>
        <w:t>frère ) soit révoqué de son "</w:t>
      </w:r>
    </w:p>
    <w:p>
      <w:r>
        <w:t>mandat " de représentant de la communauté héréditaire de feu C.A.________.</w:t>
      </w:r>
    </w:p>
    <w:p>
      <w:r>
        <w:t>Par arrêt du 8 février 2023, la Chambre des recours civile du Tribunal cantonal vaudois a confirmé cette décision.</w:t>
      </w:r>
    </w:p>
    <w:p>
      <w:r>
        <w:rPr>
          <w:b/>
        </w:rPr>
        <w:t>E. 2</w:t>
      </w:r>
    </w:p>
    <w:p>
      <w:r>
        <w:t>Par mémoire mis à la poste le 8 mai 2023, la demanderesse exerce un recours en matière civile au Tribunal fédéral contre l'arrêt précité; elle sollicite le bénéfice de l'assistance judiciaire.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en matière civile contre une décision doit être déposé dans les 30 jours qui suivent la notification de l'expédition complète ( art. 100 al. 1 LTF ). La computation du délai obéit aux règles générales posées aux art. 44 ss LTF .</w:t>
      </w:r>
    </w:p>
    <w:p>
      <w:r>
        <w:t>En l'espèce, l'arrêt entrepris confirme un jugement rejetant une action tendant à la révocation du représentant de la communauté héréditaire selon l' art. 602 al. 3 CC ; il s'agit dès lors d'une décision portant sur des mesures provisionnelles au sens de l' art. 98 LTF (arrêt 5A_234/2022 du 13 février 2023 consid. 3.1; BOVEY,</w:t>
      </w:r>
    </w:p>
    <w:p>
      <w:r>
        <w:t>in : Commentaire de la LTF, 3e éd., 2022, n° 14 ad art. 98 LTF , avec la jurisprudence citée). Contrairement à ce que soutient la recourante, le délai de recours n'a donc pas cessé de "</w:t>
      </w:r>
    </w:p>
    <w:p>
      <w:r>
        <w:t>courir durant les féries de Pâques " ( art. 46 al. 2 let. a LTF ; ATF 145 III 255 consid. 4; 139 III 78 consid. 4.4.5 et les arrêts cités).</w:t>
      </w:r>
    </w:p>
    <w:p>
      <w:r>
        <w:t>D'après le suivi des envois de La Poste, le pli contenant l'arrêt attaqué est parvenu à l'office postal de retrait le</w:t>
      </w:r>
    </w:p>
    <w:p>
      <w:r>
        <w:t>22 mars 2023 , où il a été mis à disposition de sa destinataire en "</w:t>
      </w:r>
    </w:p>
    <w:p>
      <w:r>
        <w:t>poste restante prêt au retrait ", avant d'être distribué au guichet le</w:t>
      </w:r>
    </w:p>
    <w:p>
      <w:r>
        <w:t>11 avril 2023 . Toutefois, cet arrangement avec La Poste n'a pas pour effet de prolonger le délai de garde postal de sept jours ( ATF 141 II 429 et les citations), en sorte que la décision entreprise est censée avoir été notifiée à la recourante le dernier jour de ce délai ( art. 44 al. 2 LTF ;</w:t>
      </w:r>
    </w:p>
    <w:p>
      <w:r>
        <w:t>i.c. le 29 mars 2023), et non le jour du retrait effectif (</w:t>
      </w:r>
    </w:p>
    <w:p>
      <w:r>
        <w:t>i.c. le 11 avril 2023). Déposé le</w:t>
      </w:r>
    </w:p>
    <w:p>
      <w:r>
        <w:rPr>
          <w:b/>
        </w:rPr>
        <w:t>E. 8</w:t>
      </w:r>
    </w:p>
    <w:p>
      <w:r>
        <w:t>mai 2023 , le présent recours s'avère ainsi largement tardif, partant irrecevable.</w:t>
      </w:r>
    </w:p>
    <w:p>
      <w:r>
        <w:t>4.</w:t>
      </w:r>
    </w:p>
    <w:p>
      <w:r>
        <w:t>Vu ce qui précède, le présent recours doit être déclaré irrecevable par voie de procédure simplifiée ( art. 108 al. 1 let. a LTF ). Les conclusions de la recourante étaient d'emblée vouées à l'échec, ce qui entraîne le rejet de sa requête d'assistance judiciaire et sa condamnation aux frais de la procédure fédérale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