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5A_340/2020 vom 11. Mai 2020</w:t>
      </w:r>
    </w:p>
    <w:p>
      <w:r>
        <w:t>Bundesgericht, 2020-05-11, DE</w:t>
      </w:r>
    </w:p>
    <w:p>
      <w:r>
        <w:rPr>
          <w:b/>
        </w:rPr>
        <w:t xml:space="preserve">Quelle: </w:t>
      </w:r>
      <w:r>
        <w:t>https://mcp.opencaselaw.ch/entscheid/bger_5A_340_2020</w:t>
      </w:r>
    </w:p>
    <w:p>
      <w:r>
        <w:t>FR: TF 5A_340/2020 du 11 mai 2020</w:t>
      </w:r>
    </w:p>
    <w:p>
      <w:r>
        <w:t>IT: TF 5A_340/2020 del 11 maggio 2020</w:t>
      </w:r>
    </w:p>
    <w:p>
      <w:pPr>
        <w:pStyle w:val="Heading2"/>
      </w:pPr>
      <w:r>
        <w:t>Erwägungen</w:t>
      </w:r>
    </w:p>
    <w:p>
      <w:r>
        <w:rPr>
          <w:b/>
        </w:rPr>
        <w:t>E. 1</w:t>
      </w:r>
    </w:p>
    <w:p>
      <w:r>
        <w:t>Angefochten ist ein kantonal letztinstanzliches Urteil betreffend Anfechtung von Stockwerkeigentümerbeschlüssen ( Art. 72 Abs. 1 und Art. 75 Abs. 1 BGG ). Solche Anfechtungsklagen sind vermögensrechtlicher Natur ( BGE 140 III 571 E. 1.1 S. 573). Nach den Feststellungen im angefochtenen Urteil beträgt der Streitwert Fr. 20'000.--; die Beschwerdeführer gehen vom gleichen Streitwert aus. Folglich ist der für die Beschwerde in Zivilsachen vorausgesetzte Mindeststreitwert von Fr. 30'000.-- nicht gegeben ( Art. 74 Abs. 1 lit. b BGG ). Zwar halten die Beschwerdeführer fest: "Die Beschwerde stützt sich auf Art. 74 Abs. 2 lit. a BGG ." Sie berufen sich mithin sinngemäss auf eine Rechtsfrage von grundsätzlicher Bedeutung. Indes machen sie dies nicht explizit geltend und insbesondere begründen sie mit keinem Wort, inwiefern eine Rechtsfrage von grundsätzlicher Bedeutung vorliegen soll, obwohl dies in der Beschwerde dazutun wäre ( Art. 42 Abs. 2 BGG ; Urteile 4A_290/2009 vom 12. August 2009 E. 2.1; 4A_707/2016 vom 29. Mai 2017 E. 1.1; 5A_23/2018 vom 8. Februar 2019 E. 1.1).</w:t>
      </w:r>
    </w:p>
    <w:p>
      <w:r>
        <w:t>Weil nicht dargelegt wird, worin die sinngemäss geltend gemachte Rechtsfrage von grundsätzlicher Bedeutung bestehen soll, ist auf die Beschwerde in Zivilsachen nicht einzutreten und sind die Ausführungen in Ziff. 4-39 mithin nicht zu hören. Es verbleibt die subsidiäre Verfassungsbeschwerde ( Art. 113 BGG ), welche ebenfalls erhoben wird.</w:t>
      </w:r>
    </w:p>
    <w:p>
      <w:r>
        <w:rPr>
          <w:b/>
        </w:rPr>
        <w:t>E. 2</w:t>
      </w:r>
    </w:p>
    <w:p>
      <w:r>
        <w:t>Mit der subsidiären Verfassungsbescherde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S. 246; 140 III 264 E. 2.3 S. 266; 142 III 364 E. 2.4 S. 368).</w:t>
      </w:r>
    </w:p>
    <w:p>
      <w:r>
        <w:t>In der Begründung zur subsidiären Verfassungsbeschwerde (Ziff. 40 und 41) machten die Beschwerdeführer zwar geltend, dass eine Verletzung des Willkürverbotes sowie des Grundsatzes von Treu und Glauben gerügt werden könne. Indes halten sie anschliessend einzig fest, die angefochtenen Beschlüsse würden in krasser Weise gegen das Gebot des Handelns nach Treu und Glauben verstossen, indem mit der nachträglichen Genehmigung eine Vereinbarung zwischen ihnen als direkt Betroffenen und D.________ gefunden worden sei, aber diese gerade das Gegenteil getan habe. Die Beschlüsse vom 23. Oktober 2017 liessen sich deshalb nicht mit dem Grundsatz von Treu und Glauben vereinbaren und sachlich rechtfertigen, sondern sie seien willkürlich und verdienten keinen Schutz; sie seien einzig gefasst worden, um ihre Klage zu bodigen.</w:t>
      </w:r>
    </w:p>
    <w:p>
      <w:r>
        <w:t>Es geht nicht darum, ob die gefassten Beschlüssen willkürlich sind; vielmehr wäre mit der subsidiären Verfassungsbeschwerde aufzuzeigen, inwiefern</w:t>
      </w:r>
    </w:p>
    <w:p>
      <w:r>
        <w:t>das angefochtene Urteil gegen Verfassungsbestimmungen verstossen soll, denn allein das Urteil der letzten kantonalen Instanz bildet das Anfechtungsobjekt der subsidiären Verfassungsbeschwerde (vgl. Art. 75 Abs. 1, Art. 106 Abs. 2 und Art. 117 BGG ). Dies würde eine substanziierte Auseinandersetzung mit den Erwägungen des immerhin über 20-seitigen obergerichtlichen Urteils bedingen, welche in der Beschwerdebegründung Ziff. 40 und 41 nicht ansatzweise erfolgt.</w:t>
      </w:r>
    </w:p>
    <w:p>
      <w:r>
        <w:rPr>
          <w:b/>
        </w:rPr>
        <w:t>E. 3</w:t>
      </w:r>
    </w:p>
    <w:p>
      <w:r>
        <w:t>Nach dem Gesagten erweist sich die Beschwerde in Zivilsachen als unzulässig und die subsidiäre Verfassungsbeschwerde als offensichtlich nicht hinreichend begründet, weshalb auf die Eingabe insgesamt nicht eingetreten werden kann und der Präsident im vereinfachten Verfahren entscheidet ( Art. 108 Abs. 1 lit. a und b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