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5A_33/2025 vom 4. Februar 2025</w:t>
      </w:r>
    </w:p>
    <w:p>
      <w:r>
        <w:t>Bundesgericht, 2025-02-04, DE</w:t>
      </w:r>
    </w:p>
    <w:p>
      <w:r>
        <w:rPr>
          <w:b/>
        </w:rPr>
        <w:t xml:space="preserve">Quelle: </w:t>
      </w:r>
      <w:r>
        <w:t>https://mcp.opencaselaw.ch/entscheid/bger_5A_33_2025</w:t>
      </w:r>
    </w:p>
    <w:p>
      <w:r>
        <w:t>FR: TF 5A_33/2025 du 4 février 2025</w:t>
      </w:r>
    </w:p>
    <w:p>
      <w:r>
        <w:t>IT: TF 5A_33/2025 del 4 febbraio 2025</w:t>
      </w:r>
    </w:p>
    <w:p>
      <w:pPr>
        <w:pStyle w:val="Heading2"/>
      </w:pPr>
      <w:r>
        <w:t>Erwägungen</w:t>
      </w:r>
    </w:p>
    <w:p>
      <w:r>
        <w:rPr>
          <w:b/>
        </w:rPr>
        <w:t>E. 1</w:t>
      </w:r>
    </w:p>
    <w:p>
      <w:r>
        <w:t>Am 6. August 2024 vollzog das Betreibungsamt Basel-Landschaft nach Wohnungsöffnung die Pfändung gegenüber dem Beschwerdeführer (Pfändungsgruppe Nr. xxx). Gegen die Pfändung erhob der Beschwerdeführer am 16. August 2024 Beschwerde bei der Aufsichtsbehörde Schuldbetreibung und Konkurs Basel-Landschaft. Mit Entscheid vom 3. November 2024 wies die Aufsichtsbehörde die Beschwerde ab, soweit sie darauf eintrat. Dagegen hat der Beschwerdeführer am 13. Januar 2025 Beschwerde in Zivilsachen an das Bundesgericht erhoben. Mit Verfügung vom 14. Januar 2025 hat das Bundesgericht das Gesuch um aufschiebende Wirkung abgewiesen. Gleichentags hat das Bundesgericht dem Beschwerdeführer im Hinblick auf sein Gesuch um unentgeltliche Verbeiständung mitgeteilt, dass es an ihm (dem Beschwerdeführer) liegt, einen Rechtsanwalt oder eine Rechtsanwältin mit der Interessenwahrung zu betrauen.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BGE 142 III 364 E. 2.4; 149 III 81 E. 1.3). Die Feststellung des Sachverhalts kann sodann nur eingeschränkt gerügt werden, insbesondere dann, wenn sie offensichtlich unrichtig - d.h. willkürlich - ist ( Art. 97 Abs. 1 BGG ). Bei der Rüge der offensichtlich unrichtigen Sachverhaltsfeststellung gilt das strenge Rügeprinzip ( Art. 106 Abs. 2 BGG ; BGE 140 III 16 E. 1.3.1; 140 III 264 E. 2.3).</w:t>
      </w:r>
    </w:p>
    <w:p>
      <w:r>
        <w:rPr>
          <w:b/>
        </w:rPr>
        <w:t>E. 3</w:t>
      </w:r>
    </w:p>
    <w:p>
      <w:r>
        <w:t>Der Beschwerdeführer rügt eine Verletzung des rechtlichen Gehörs, doch legt er nicht dar, weshalb sich die Aufsichtsbehörde mit den von ihm behaupteten Umständen bzw. Vorbringen hätte befassen müssen. Ausserdem sieht er den Anspruch auf ein unabhängiges und unparteiisches Gericht verletzt. Seine Ausführungen sind blosse Urteilskritik ohne Auseinandersetzung mit den vorinstanzlichen Erwägungen bzw. ohne Sachverhaltsrüge und sind damit nicht geeignet, den Vorwurf der Parteilichkeit zu begründen. Auch im Übrigen erschöpft sich die Beschwerde in Sachverhaltsschilderungen und Aufzählungen angeblich verletzter Bestimmungen (Schutz der Familie, Wertpapierrecht, GwG, Willkürverbot, Recht auf ein faires Verfahren etc.). Eine Auseinandersetzung mit den Erwägungen der Aufsichtsbehörde (z.B. zur behaupteten Tilgung durch Promissory Notes, zur Höhe der gepfändeten Summe oder zur Rechtmässigkeit der Wohnungsöffnung) fehlt. Die Beschwerde enthält offensichtlich keine hinreichende Begründung. Der Abteilungspräsident tritt auf sie im vereinfachten Verfahren nicht ein ( Art. 108 Abs. 1 lit. b BGG ).</w:t>
      </w:r>
    </w:p>
    <w:p>
      <w:r>
        <w:rPr>
          <w:b/>
        </w:rPr>
        <w:t>E. 4</w:t>
      </w:r>
    </w:p>
    <w:p>
      <w:r>
        <w:t>Bei diesem Ausgang des Verfahrens trägt der Beschwerdeführer die Gerichtskosten ( Art. 66 Abs. 1 BGG ). Wie die vorstehenden Erwägungen zeigen, war die Beschwerde von vornherein aussichtslos. Das Gesuch um unentgeltliche Rechtspflege und Verbeiständung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