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337/2010 vom 2. August 2010</w:t>
      </w:r>
    </w:p>
    <w:p>
      <w:r>
        <w:t>Bundesgericht, 2010-08-02, FR</w:t>
      </w:r>
    </w:p>
    <w:p>
      <w:r>
        <w:rPr>
          <w:b/>
        </w:rPr>
        <w:t xml:space="preserve">Quelle: </w:t>
      </w:r>
      <w:r>
        <w:t>https://mcp.opencaselaw.ch/entscheid/bger_5A_337_2010</w:t>
      </w:r>
    </w:p>
    <w:p>
      <w:r>
        <w:t>FR: TF 5A 337/2010 du 2 août 2010</w:t>
      </w:r>
    </w:p>
    <w:p>
      <w:r>
        <w:t>IT: TF 5A 337/2010 del 2 agosto 2010</w:t>
      </w:r>
    </w:p>
    <w:p>
      <w:pPr>
        <w:pStyle w:val="Heading2"/>
      </w:pPr>
      <w:r>
        <w:t>Regeste</w:t>
      </w:r>
    </w:p>
    <w:p>
      <w:r>
        <w:t>partage de succession [5A_337/2010] | Droit des successions</w:t>
      </w:r>
    </w:p>
    <w:p>
      <w:pPr>
        <w:pStyle w:val="Heading2"/>
      </w:pPr>
      <w:r>
        <w:t>Erwägungen</w:t>
      </w:r>
    </w:p>
    <w:p>
      <w:r>
        <w:rPr>
          <w:b/>
        </w:rPr>
        <w:t>E. 1</w:t>
      </w:r>
    </w:p>
    <w:p>
      <w:r>
        <w:t>Le Tribunal fédéral examine d'office et librement la recevabilité des recours qui lui sont soumis ( ATF 134 III 115 consid. 1 et les références citées).</w:t>
      </w:r>
    </w:p>
    <w:p>
      <w:r>
        <w:rPr>
          <w:b/>
        </w:rPr>
        <w:t>E. 1.1</w:t>
      </w:r>
    </w:p>
    <w:p>
      <w:r>
        <w:t>Interjeté en temps utile ( art. 100 al. 1 LTF ) - compte tenu des féries de Pâques ( art. 46 al. 1 let. a LTF ) - , contre une décision finale ( art. 90 LTF ), par des parties qui ont succombé en dernière instance cantonale ( art. 76 al. 1 LTF et art. 75 al. 1 LTF ), dans une affaire de partage successoral ( art. 72 al. 1 LTF ) dont la valeur litigieuse est supérieure à 30'000 fr. ( art. 74 al. 1 let. b LTF ), le recours en matière civile est en principe recevable. Conformément à l' art. 93 al. 3 LTF , les recourantes s'en prennent également à l'arrêt incident du 18 février 2005 qui a manifestement influé sur le contenu de l'arrêt du 12 mars 2010 dès lors que la Cour de justice y a déterminé les actifs et passifs de la succession.</w:t>
      </w:r>
    </w:p>
    <w:p>
      <w:r>
        <w:rPr>
          <w:b/>
        </w:rPr>
        <w:t>E. 1.2.1</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133 III 489 consid. 3.1 et les références citées). De plus, les conclusions doivent être déterminées avec suffisamment de précision; ainsi, celles qui portent sur une somme d'argent doivent être chiffrées. Le recourant ne peut donc, sous peine d'irrecevabilité, se contenter de demander au Tribunal fédéral de fixer le montant ou la réduction réclamés ( ATF 134 III 235 consid. 2; arrêt 5A_669/2007 du 4 août 2008 consid. 1.2; à propos de l' art. 55 al. 1 let. b OJ : cf. ATF 121 III 390 consid. 1). Exceptionnellement, des conclusions non chiffrées suffisent pour autant que la somme à allouer est d'emblée reconnaissable au regard de la motivation du recours ou de la décision attaquée ( ATF 134 III 235 consid. 2 et les références citées; arrêt 5A_766/2008 du 4 février 2009 consid. 2.2 s., publié in FamPra.ch 2009 p. 422).</w:t>
      </w:r>
    </w:p>
    <w:p>
      <w:r>
        <w:rPr>
          <w:b/>
        </w:rPr>
        <w:t>E. 1.2.2</w:t>
      </w:r>
    </w:p>
    <w:p>
      <w:r>
        <w:t>En l'espèce, l'arrêt attaqué contient de manière exhaustive les éléments permettant de calculer le montant des soultes à payer par les héritiers étant tenu au rapport ou ayant obtenu l'attribution d'un bien excédant leur part dès lors qu'il arrête la valeur de l'ensemble des actifs et passifs de la succession. Si les recourantes réclament, dans de longues conclusions constatatoires, que la liste des actifs et passifs soit augmentée par d'autres créances et dettes, elles ne prétendent toutefois pas qu'un complément d'instruction serait nécessaire pour en établir la valeur; au contraire, elles indiquent pour chacune d'elles le montant annuel ou global qui devrait être retenu. En conséquence, si la Cour de céans devait admettre le recours, elle serait en mesure de statuer sur le fond si bien que les recourantes ne sauraient se borner à demander l'annulation des arrêts entrepris, seules des conclusions réformatoires et suffisamment déterminées étant recevables. Or, en l'espèce, les recourantes n'ont pris aucune conclusion s'agissant de l'attribution des biens extants, ni n'ont chiffré les soultes réclamées aux intimés tenus au rapport ou ayant obtenu l'attribution d'un bien excédant leur part alors qu'elles portent pourtant sur une somme d'argent. En effet, elles semblent bien plus attendre de la Cour de céans qu'elle confirme l'attribution des biens retenus par l'autorité cantonale et arrête le montant desdites soultes en tenant compte des créances et dettes alléguées ainsi que de la compensation invoquée, ce qui implique un long et laborieux calcul. Dans ces circonstances, on ne saurait admettre, faute d'indications précises des modifications du dispositif de l'arrêt cantonal sollicitées, que la somme à allouer à chacune des recourantes peut être déduite facilement et clairement au regard de la motivation du recours ou de la décision attaquée. Les conclusions du recours se révèlent dès lors irrecevables.</w:t>
      </w:r>
    </w:p>
    <w:p>
      <w:r>
        <w:rPr>
          <w:b/>
        </w:rPr>
        <w:t>E. 2</w:t>
      </w:r>
    </w:p>
    <w:p>
      <w:r>
        <w:t>Sur le vu de ce qui précède, le recours est irrecevable. Les recourantes, qui succombent, supporteront les frais de la procédure ( art. 66 al. 1 LTF ). Il n'y a pas lieu d'allouer de dépens aux intimés qui n'ont pas été invités à répondre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