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337/2008 vom 15. Juli 2008</w:t>
      </w:r>
    </w:p>
    <w:p>
      <w:r>
        <w:t>Bundesgericht, 2008-07-15, FR</w:t>
      </w:r>
    </w:p>
    <w:p>
      <w:r>
        <w:rPr>
          <w:b/>
        </w:rPr>
        <w:t xml:space="preserve">Quelle: </w:t>
      </w:r>
      <w:r>
        <w:t>https://mcp.opencaselaw.ch/entscheid/bger_5A_337_2008</w:t>
      </w:r>
    </w:p>
    <w:p>
      <w:r>
        <w:t>FR: TF 5A 337/2008 du 15 juillet 2008</w:t>
      </w:r>
    </w:p>
    <w:p>
      <w:r>
        <w:t>IT: TF 5A 337/2008 del 15 luglio 2008</w:t>
      </w:r>
    </w:p>
    <w:p>
      <w:pPr>
        <w:pStyle w:val="Heading2"/>
      </w:pPr>
      <w:r>
        <w:t>Regeste</w:t>
      </w:r>
    </w:p>
    <w:p>
      <w:r>
        <w:t>action révocatoire (autorité de la chose jugée) | Droit des poursuites et faillites</w:t>
      </w:r>
    </w:p>
    <w:p>
      <w:pPr>
        <w:pStyle w:val="Heading2"/>
      </w:pPr>
      <w:r>
        <w:t>Erwägungen</w:t>
      </w:r>
    </w:p>
    <w:p>
      <w:r>
        <w:rPr>
          <w:b/>
        </w:rPr>
        <w:t>E. 1</w:t>
      </w:r>
    </w:p>
    <w:p>
      <w:r>
        <w:t>Le recours a été déposé en temps utile (100 al. 1 LTF) et dans la forme prévue par la loi ( art. 42 LTF ), par la partie qui a succombé en dernière instance cantonale (art. 76 al. 1 et 75 al. 1 LTF), contre une décision sujette au recours en matière civile ( art. 72 al. 2 let. a LTF ) dans une affaire de nature pécuniaire, dont la valeur litigieuse est supérieure à 30'000 fr. ( art. 51 al. 1 let . c et 74 al. 1 let. b LTF). La décision attaquée est une décision incidente, prise et notifiée séparément du fond. Le recours portant sur l'exception d'autorité de la chose jugée, il peut conduire immédiatement à une décision finale permettant d'éviter une procédure probatoire longue et coûteuse, de sorte qu'il doit être admis au sens de l' art. 93 al. 1 let. b LTF .</w:t>
      </w:r>
    </w:p>
    <w:p>
      <w:r>
        <w:rPr>
          <w:b/>
        </w:rPr>
        <w:t>E. 2</w:t>
      </w:r>
    </w:p>
    <w:p>
      <w:r>
        <w:t>Le recours peut être exercé, parmi d'autres griefs, pour violation du droit fédéral ( art. 95 let. a LTF ). Selon la jurisprudence, l'autorité de la chose jugée (materielle Rechtskraft) relève du droit fédéral dans la mesure où les prétentions déduites en justice se fondent sur ce droit ( ATF 125 III 241 consid. 1; 121 III 474 consid. 2; 119 II 89 consid. 2a). Tel est le cas en l'espèce puisque le litige porte sur le caractère révocable de la convention prévoyant la restitution de la propriété des parts d'étages.</w:t>
      </w:r>
    </w:p>
    <w:p>
      <w:r>
        <w:rPr>
          <w:b/>
        </w:rPr>
        <w:t>E. 6</w:t>
      </w:r>
    </w:p>
    <w:p>
      <w:r>
        <w:t>Le recours est rejeté au frais de son auteur ( art. 66 al. 1 LTF ). Il n'y a pas lieu d'allouer des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