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5A_336/2018 vom 8. Juni 2018</w:t>
      </w:r>
    </w:p>
    <w:p>
      <w:r>
        <w:t>Bundesgericht, 2018-06-08, FR</w:t>
      </w:r>
    </w:p>
    <w:p>
      <w:r>
        <w:rPr>
          <w:b/>
        </w:rPr>
        <w:t xml:space="preserve">Quelle: </w:t>
      </w:r>
      <w:r>
        <w:t>https://mcp.opencaselaw.ch/entscheid/bger_5A_336_2018</w:t>
      </w:r>
    </w:p>
    <w:p>
      <w:r>
        <w:t>FR: TF 5A_336/2018 du 8 juin 2018</w:t>
      </w:r>
    </w:p>
    <w:p>
      <w:r>
        <w:t>IT: TF 5A_336/2018 del 8 giugno 2018</w:t>
      </w:r>
    </w:p>
    <w:p>
      <w:pPr>
        <w:pStyle w:val="Heading2"/>
      </w:pPr>
      <w:r>
        <w:t>Erwägungen</w:t>
      </w:r>
    </w:p>
    <w:p>
      <w:r>
        <w:rPr>
          <w:b/>
        </w:rPr>
        <w:t>E. 1</w:t>
      </w:r>
    </w:p>
    <w:p>
      <w:r>
        <w:t>Déposé dans le délai légal ( art. 100 al. 1 LTF ), par une partie qui a pris part à la procédure devant l'autorité précédente et est lésée par la décision prise ( art. 76 al. 1 LTF ), à l'encontre d'une décision rendue par un tribunal supérieur ayant statué sur recours en dernière instance cantonale ( art. 75 al. 1 et 2 LTF ) dans le domaine de la protection de l'adulte (art. 72 al. 2 let. b ch. 6 LTF), le recours en matière civile est en principe recevable au regard de ces dispositions.</w:t>
      </w:r>
    </w:p>
    <w:p>
      <w:r>
        <w:t>La décision attaquée, incidente au sens de l' art. 93 LTF (arrêts 5A_379/2017 du 5 décembre 2017 consid. 1.2; 5A_683/2013 du 11 décembre 2013 consid. 1.3.1), n'est - hormis l'éventualité prévue à l' art. 93 al. 1 let. b LTF , exclue d'emblée dans le cas présent - susceptible de recours que si elle peut causer un préjudice irréparable ( art. 93 al. 1 let. a LTF ), à savoir un préjudice de nature juridique qu'une décision finale, même favorable à la partie recourante, ne ferait pas disparaître entièrement ( ATF 142 III 798 consid. 2.2; 138 III 190 consid. 6). Tel est le cas en l'occurrence, s'agissant de mesures, confirmées par l'autorité précédente, imposant à la recourante le concours d'une curatrice de représentation et la limitant dans la gestion de son patrimoine ( ATF 143 III 140 consid. 4.3; arrêt 5A_379/2017 du 5 décembre 2017 consid. 1.2).</w:t>
      </w:r>
    </w:p>
    <w:p>
      <w:r>
        <w:rPr>
          <w:b/>
        </w:rPr>
        <w:t>E. 2.1</w:t>
      </w:r>
    </w:p>
    <w:p>
      <w:r>
        <w:t>Les mesures provisionnelles fondées sur l' art. 445 al. 1 CC ne peuvent être déférées au Tribunal fédéral que pour violation des droits constitutionnels ( art. 98 LTF ; arrêt 5A_683/2013 du 11 décembre 2013 consid. 2.1). Le Tribunal fédéral n'examine de tels griefs que s'ils ont été invoqués et motivés par le recourant (" principe d'allégation "; art. 106 al. 2 LTF ), c'est-à-dire s'ils ont été expressément soulevés et exposés de manière claire et détaillée ( ATF 142 II 369 consid. 2.1; 141 I 36 consid. 1.3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Dans un premier grief, la recourante se plaint du " déni de justice commis par le Tribunal cantonal (94 LTF) ", faute d'avoir donné suite à une demande qu'elle avait formulée avant d'avoir mandaté un avocat, et tendant à ce qu'elle puisse compléter son recours " dès une fois que son Conseil aurait été mandaté et aurait pu consulter le dossier de la cause ". Elle reproche à l'autorité précédente d'avoir alors statué sans l'interpeller, alors qu'elle aurait dû lui impartir un délai pour constituer un avocat et/ou compléter son recours.</w:t>
      </w:r>
    </w:p>
    <w:p>
      <w:r>
        <w:t>D'emblée, une telle critique, qui se réfère à une norme relative à la recevabilité des recours au Tribunal fédéral et ne mentionne aucune autre disposition, singulièrement de procédure, à appliquer par la cour cantonale, est insuffisamment motivée ( art. 106 al. 2 LTF ; cf.</w:t>
      </w:r>
    </w:p>
    <w:p>
      <w:r>
        <w:t>supra consid. 2.1), partant irrecevable, étant au surplus précisé que l'on ne distingue pas sur quelle base le délai légal de recours eût pu être prolongé.</w:t>
      </w:r>
    </w:p>
    <w:p>
      <w:r>
        <w:rPr>
          <w:b/>
        </w:rPr>
        <w:t>E. 4</w:t>
      </w:r>
    </w:p>
    <w:p>
      <w:r>
        <w:t>La recourante soulève le grief d'arbitraire dans l'application du droit fédéral, en particulier des art. 390, 394, 395 et 445 CC.</w:t>
      </w:r>
    </w:p>
    <w:p>
      <w:r>
        <w:rPr>
          <w:b/>
        </w:rPr>
        <w:t>E. 4.1</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Il faut que l'existence de l'une des causes précitées empêche partiellement ou totalement la personne concernée d'assurer elle-même la sauvegarde de ses intérêts (arrêts 5A_844/2017 du 15 mai 2018 consid. 3.1; 5A_192/2018 du 30 avril 2018 consid. 3.1).</w:t>
      </w:r>
    </w:p>
    <w:p>
      <w:r>
        <w:t>En vertu de l' art. 394 CC ,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(arrêts 5A_192/2018 du 30 avril 2018 consid. 3.1; 5A_743/2015 du 11 décembre 2015 consid. 4.1; 5A_356/2015 du 26 juin 2015 consid. 3.1).</w:t>
      </w:r>
    </w:p>
    <w:p>
      <w:r>
        <w:t>Par ailleurs, selon l' art. 395 CC , l'autorité peut soumettre à la gestion tout ou partie des revenus ou de la fortune, ou l'ensemble des biens (al. 1). A moins qu'elle n'en décide autrement, les pouvoirs de gestion du curateur s'étendent à l'épargne constituée sur la base des revenus et du produit de la fortune gérée (al. 2). Même si elle décide de ne pas limiter l'exercice des droits civils de la personne concernée, l'autorité de protection de l'adulte peut la priver de la faculté d'accéder à certains éléments de son patrimoine (al. 3), afin de la protéger. La mesure de curatelle de représentation en relation avec la gestion du patrimoine a pour but de protéger les personnes qui ne sont pas capable de gérer seules leurs biens sans porter atteinte à leurs propres intérêts (arrêt 5A_540/2013 du 3 décembre 2013 consid. 5.1.1 non publié in ATF 140 III 1 ). Lorsqu'elle détermine les biens sur lesquels portent les pouvoirs du curateur, l'autorité de protection de l'adulte doit tenir compte des besoins de la personne concernée, en application du principe général de l' art. 391 al. 1 CC . Elle jouit d'un large pouvoir d'appréciation. Le Tribunal fédéral ne revoit qu'avec retenue l'exercice du pouvoir d'appréciation par l'autorité cantonale. Il n'intervient que si la décision s'écarte sans raison des règles établies par la doctrine et la jurisprudence en matière de libre appréciation, ou repose sur des faits qui, dans le cas particulier, ne devaient jouer aucun rôle, ou encore si elle n'a pas tenu compte d'éléments qui auraient dû être pris en considération; en outre, il sanctionnera les décisions rendues en vertu du pouvoir d'appréciation lorsqu'elles aboutissent à un résultat manifestement injuste ou à une iniquité choquante ( ATF 138 III 252 consid. 2.1 p. 253 s.; 136 III 278 consid. 2.2.1 p. 279).</w:t>
      </w:r>
    </w:p>
    <w:p>
      <w:r>
        <w:t>Selon l'art. 445 al 1 CC, l'autorité de protection de l'adulte prend, d'office ou à la demande d'une personne partie à la procédure, toutes les mesures provisionnelles nécessaires pendant la durée de la procédure. Elle peut notamment ordonner une mesure de protection de l'adulte à titre provisoire. Dans ce domaine, la cognition du Tribunal fédéral est limitée à l'arbitraire ( art. 98 LTF ; cf. supra consid. 2.1). Ce n'est que lorsque l'autorité cantonale a manifestement excédé son pouvoir d'appréciation ou en a manifestement abusé, et a abouti à un résultat manifestement injuste ou à une iniquité choquante, qu'il intervient ( ATF 141 V 51 consid. 9.2).</w:t>
      </w:r>
    </w:p>
    <w:p>
      <w:r>
        <w:rPr>
          <w:b/>
        </w:rPr>
        <w:t>E. 4.2</w:t>
      </w:r>
    </w:p>
    <w:p>
      <w:r>
        <w:t>En l'occurrence, la cour cantonale a confirmé les mesures provisionnelles prises par le Juge de paix, dans le contexte de l'enquête en institution d'une curatelle en cours à l'égard de la recourante, à la suite du signalement de la situation de celle-ci par des conseillers juridiques de sa banque, effectuée en vertu de leur devoir d'information de mandataire. Selon le courrier de l'établissement bancaire du 17 novembre 2017, la recourante ne disposait vraisemblablement plus des facultés nécessaires à la gestion de son patrimoine. Elle aurait ainsi tenté de prélever 500'000 fr. au mois d'août 2017 pour les remettre à un tiers " magnétiseur-guérisseur ", puis 200'000 fr. au mois de novembre suivant pour les mêmes motifs. La cour cantonale a par ailleurs relevé que l'époux de la recourante s'était également adressé à l'autorité de protection pour évoquer les fréquentes hospitalisations de son épouse en raison de ses troubles de l'humeur, ainsi que les difficultés de gestion rencontrées. A l'audience du 30 novembre 2017, confrontée aux affirmations relatives aux nombreuses tentatives de retrait de montants importants, la recourante a indiqué en substance avoir voulu faire un prêt à un ami guérisseur qu'elle connaissait depuis une année environ et en qui elle avait entièrement confiance. Elle a précisé avoir séjourné en institution en raison d'une dépression, être suivie par un psychiatre et prendre des médicaments (antidépresseurs). La cour cantonale a exposé qu'une expertise médicale avait été ordonnée, aux fins de déterminer si la recourante souffre de troubles psychiques et si, le cas échéant, elle est dénuée de la faculté d'agir raisonnablement en raison de ces atteintes. En l'état et au stade de la vraisemblance, il résultait des déclarations de la recourante et de son mari qu'elle était atteinte dans sa santé, qu'elle avait déjà été hospitalisée et suivait un traitement, que ses troubles s'apparentaient à une forme de bipolarité et qu'il était probable que ceux-ci l'empêchent de gérer ses affaires au vu des démarches entreprises auprès de son établissement bancaire. La cour cantonale a ainsi estimé qu'il se justifiait de prévoir la gestion de ses affaires par un tiers, et qu'elle puisse être représentée à cette fin jusqu'à ce que les résultats de l'expertise soient connus. Il en allait de même de la restriction d'accès aux biens, justifiée à titre provisoire pour éviter qu'elle ne continue à solliciter le retrait de montants importants auprès de son établissement bancaire.</w:t>
      </w:r>
    </w:p>
    <w:p>
      <w:r>
        <w:rPr>
          <w:b/>
        </w:rPr>
        <w:t>E. 4.3</w:t>
      </w:r>
    </w:p>
    <w:p>
      <w:r>
        <w:t>La recourante reproche à la cour cantonale d'avoir considéré que les conditions de l' art. 390 CC étaient réalisées en se fondant uniquement sur trois éléments, à savoir le fait qu'elle était sous antidépresseurs au moment des faits, que les prêts portaient sur des montants " importants " et, surtout, que le destinataire était un " guérisseur-magnétiseur ". Or, il serait patent qu'elle ne souffre d'aucune déficience mentale, trouble psychique ou autre état de faiblesse de nature à influer sur sa capacité de discernement; le seul fait de requérir trois retraits distincts de son établissement bancaire, entre août et novembre 2017, ne saurait en soi être considéré comme un quelconque état de faiblesse, même si les montants sont importants, ceux-ci n'étant pas hors de proportion à la lumière de sa fortune. La recourante relève par ailleurs que l'employé de la banque B.________ ne l'a dénoncée auprès du Juge de paix qu'en novembre 2017, après avoir connu l'identité du destinataire des prêts litigieux, alors qu'en août 2017 déjà elle avait requis des retraits importants (de deux fois 250'000 fr. puis de 500'000 fr. quelques jours plus tard) sans que l'employé de la banque n'estime nécessaire, à ce moment-là, d'informer l'autorité de protection de l'adulte. Ce serait donc exclusivement en raison de la qualité de la personne en faveur de laquelle elle a souhaité opérer un prêt que les autorités ont pris des mesures suite à une dénonciation dans le contexte d'une nouvelle demande de retrait de 200'000 fr. (seulement), pour un prêt à un ami proche, alors qu'elle voulait investir dans un centre de médecine naturelle à U.________. Il était à cet égard très clair que son ami lui signerait une reconnaissance de dette. Enfin, le fait qu'elle soit dépressive et actuellement sous antidépresseur ne suffirait pas à mettre en doute sa capacité de discernement, pas plus que la prise en compte de la déclaration de son mari qui " tente par tous les truchements de lui nuire ". La cour cantonale serait ainsi tombée dans l'arbitraire, en se laissant guider par des éléments clairement étrangers " aux dispositions légales ".</w:t>
      </w:r>
    </w:p>
    <w:p>
      <w:r>
        <w:t>La critique de la recourante ne saurait être prise en considération en tant qu'elle se réfère à des éléments de fait non établis, respectivement qui ne ressortent pas de l'arrêt attaqué, sans qu'elle ne soulève le grief d'arbitraire dans leur établissement (cf. supra consid. 2.2). Tel est par exemple le cas de la référence à sa fortune pour relever que les retraits requis ne seraient pas " hors de proportion ", ou de l'affirmation selon laquelle l'ami guérisseur bénéficiaire du prêt de la recourante lui signerait une reconnaissance de dette en bonne et due forme, cet élément n'étant mentionné dans l'arrêt attaqué que comme une information de la recourante, adressée à son conseiller juridique auprès de sa banque. Enfin, il en va de même de l'affirmation selon laquelle son mari cherche à lui nuire.</w:t>
      </w:r>
    </w:p>
    <w:p>
      <w:r>
        <w:t>En définitive, par sa critique sur la nécessité d'instituer une curatelle ( art. 390 CC ), la recourante tend à substituer son appréciation des circonstances à celle de la cour cantonale, une telle approche, largement appellatoire, n'étant pas de nature à démontrer que l'autorité précédente serait tombée dans l'arbitraire. Il ne suffit en particulier pas d'affirmer péremptoirement qu'il n'existe " aucune déficience mentale, trouble psychique ou autre état de faiblesse ", nonobstant une dépression traitée par anti-dépresseurs qui ne saurait " affecter sa capacité de discernemen t ", tout en occultant la constatation de la cour cantonale selon laquelle les troubles de la recourante s'apparentent à une forme de bipolarité et qu'il est probable que ceux-ci l'empêchent de gérer ses affaires au vu des démarches entreprises auprès de son établissement bancaire.</w:t>
      </w:r>
    </w:p>
    <w:p>
      <w:r>
        <w:t>Enfin, force est de relever que le recours ne précise pas plus avant, dans le contexte du grief d'arbitraire dans l'application du droit fédéral (recours B.b., p. 12 à 19), en quoi la cour cantonale aurait appliqué de manière insoutenable les art. 394, 395 et 445 CC . Une telle critique ne respecte pas le principe d'allégation (cf.</w:t>
      </w:r>
    </w:p>
    <w:p>
      <w:r>
        <w:t>supra consid. 2.1), de sorte qu'elle est irrecevable.</w:t>
      </w:r>
    </w:p>
    <w:p>
      <w:r>
        <w:t>En définitive, le grief d'application arbitraire du droit fédéral est infondé, dans la faible mesure de sa recevabilité.</w:t>
      </w:r>
    </w:p>
    <w:p>
      <w:r>
        <w:rPr>
          <w:b/>
        </w:rPr>
        <w:t>E. 5</w:t>
      </w:r>
    </w:p>
    <w:p>
      <w:r>
        <w:t>Sous couvert de " violation des principes de proportionnalité (36 Cst.) et de subsidiarité (5 Cst.) dans le respect de la liberté personnelle (10 Cst.) " (recours, B. c., p. 19 à 23), la recourante considère que la restriction de ses droits est disproportionnée et que l'autorité aurait dû renoncer à instaurer une curatelle au profit d'autres mesures, en application de l' art. 392 CC . Après avoir rappelé, sur un plan théorique, la teneur de différentes dispositions de la Constitution fédérale et du Code civil, la recourante fait valoir qu' " à la lumière des faits de la présente affaire " la décision querellée est manifestement disproportionnée et ne respecte pas le principe de subsidiarité, reprenant ensuite en substance l'argumentation de son grief de violation arbitraire de l' art. 390 CC , en affirmant que la mesure prise n'est ni nécessaire ni appropriée et que l'autorité cantonale aurait dû se cantonner à mettre en place une simple surveillance des comptes " sans restreindre complètement son accès à son patrimoine ".</w:t>
      </w:r>
    </w:p>
    <w:p>
      <w:r>
        <w:t>Le Tribunal fédéral n'examine le moyen tiré de la violation des droits fondamentaux que si le grief a été invoqué et motivé de manière précise ( art. 106 al. 2 LTF ; cf.</w:t>
      </w:r>
    </w:p>
    <w:p>
      <w:r>
        <w:t>supra consid. 2.1), exigence dont il est d'emblée douteux qu'elle soit respectée par les critiques telles que formulées dans le recours. En l'espèce, la possibilité d'invoquer directement une violation de l' art. 5 Cst. est également douteuse. Quoi qu'il en soit, la recourante n'explique pas en quoi les dispositions constitutionnelles qu'elle invoque auraient, dans ce contexte, une portée propre par rapport au moyen tiré de la violation arbitraire des art. 394 et 395 CC , griefs déjà écartés ci-dessus (cf. supra consid. 4.3). Par ailleurs, on ne discerne pas en quoi la référence à l' art. 344 CC (recours p. 19) serait pertinente. Au surplus, en tant que la critique se réfère aux art. 388, 389, 391 et 392 CC, sans que le grief d'arbitraire dans leur application ne soit soulevé, elle ne saurait être prise en considération dans le cadre du présent recours ( art. 98 LTF ; cf. supra consid. 2.1). Enfin et de surcroît, la critique de la recourante se révèle quoi qu'il en soit appellatoire, en tant qu'elle concerne la pertinence des mesures prises. Partant, les griefs soulevés sont irrecevables.</w:t>
      </w:r>
    </w:p>
    <w:p>
      <w:r>
        <w:rPr>
          <w:b/>
        </w:rPr>
        <w:t>E. 6</w:t>
      </w:r>
    </w:p>
    <w:p>
      <w:r>
        <w:t>Au vu de ce qui précède, le recours doit être rejeté dans la faible mesure de sa recevabilité et les frais judiciaires mis à la charge de la recourante qui succombe ( art. 66 al. 1 LTF ). Il n'y a pas lieu d'octroyer une indemnité de dépens à l'autorité intimée, qui n'a pas été invitée à se déterminer sur le recours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