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336/2010 vom 30. Juli 2010</w:t>
      </w:r>
    </w:p>
    <w:p>
      <w:r>
        <w:t>Bundesgericht, 2010-07-30, FR</w:t>
      </w:r>
    </w:p>
    <w:p>
      <w:r>
        <w:rPr>
          <w:b/>
        </w:rPr>
        <w:t xml:space="preserve">Quelle: </w:t>
      </w:r>
      <w:r>
        <w:t>https://mcp.opencaselaw.ch/entscheid/bger_5A_336_2010</w:t>
      </w:r>
    </w:p>
    <w:p>
      <w:r>
        <w:t>FR: TF 5A 336/2010 du 30 juillet 2010</w:t>
      </w:r>
    </w:p>
    <w:p>
      <w:r>
        <w:t>IT: TF 5A 336/2010 del 30 luglio 2010</w:t>
      </w:r>
    </w:p>
    <w:p>
      <w:pPr>
        <w:pStyle w:val="Heading2"/>
      </w:pPr>
      <w:r>
        <w:t>Regeste</w:t>
      </w:r>
    </w:p>
    <w:p>
      <w:r>
        <w:t>Poursuite en réalisation de gage; conditions de vente | Droit des poursuites et faillites</w:t>
      </w:r>
    </w:p>
    <w:p>
      <w:pPr>
        <w:pStyle w:val="Heading2"/>
      </w:pPr>
      <w:r>
        <w:t>Erwägungen</w:t>
      </w:r>
    </w:p>
    <w:p>
      <w:r>
        <w:rPr>
          <w:b/>
        </w:rPr>
        <w:t>E. 1.1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indépendamment de la valeur litigieuse ( art. 74 al. 2 let . c LTF).</w:t>
      </w:r>
    </w:p>
    <w:p>
      <w:r>
        <w:rPr>
          <w:b/>
        </w:rPr>
        <w:t>E. 1.2</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1.3</w:t>
      </w:r>
    </w:p>
    <w:p>
      <w:r>
        <w:t>Le chef de conclusions tendant à ce qu'il soit dit et constaté que le bâtiment H490 est soustrait à l'exécution forcée dans la poursuite en cause pour sa partie sise sur la parcelle n°4595 est nouveau, partant irrecevable en vertu de l' art. 99 al. 2 LTF .</w:t>
      </w:r>
    </w:p>
    <w:p>
      <w:r>
        <w:rPr>
          <w:b/>
        </w:rPr>
        <w:t>E. 1.4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133 II 249 consid. 1.2.2 p. 252), doit exposer de manière circonstanciée en quoi les exceptions prévues par l' art. 105 al. 2 LTF seraient réalisées ( ATF 133 IV 150 consid. 1.3 p. 152).</w:t>
      </w:r>
    </w:p>
    <w:p>
      <w:r>
        <w:rPr>
          <w:b/>
        </w:rPr>
        <w:t>E. 2</w:t>
      </w:r>
    </w:p>
    <w:p>
      <w:r>
        <w:t>A l'appui de son grief de violation du droit d'être entendu et d'établissement inexact des faits, la recourante reproche à l'autorité précédente d'avoir tiré des déductions insoutenables des documents versés au dossier et des allégations des parties, de les avoir résumés d'une manière incomplète et d'avoir paraphrasé au surplus les positions des parties, de ne pas avoir constaté l'étendue précise de la parcelle n° 6913, de n'avoir pas fait état des inscriptions au registre foncier attestant de sa qualité de propriétaire des deux parcelles n° 6913 et n° 4595 sur lesquelles le bâtiment H490 est érigé, ni mentionné la situation foncière desdites parcelles, alors qu'il se serait agi là d'éléments déterminants.</w:t>
      </w:r>
    </w:p>
    <w:p>
      <w:r>
        <w:rPr>
          <w:b/>
        </w:rPr>
        <w:t>E. 2.1</w:t>
      </w:r>
    </w:p>
    <w:p>
      <w:r>
        <w:t>La jurisprudence a déduit du droit d'être entendu garanti par l' art. 29 al. 2 Cst. , en particulier, le droit pour le justiciable de fournir des preuves quant aux faits de nature à influer sur le sort de la décision ( ATF 132 V 368 consid. 3.1 et les références), ce qui implique l'obligation pour l'autorité de donner suite aux offres de preuves présentées en temps utile et dans les formes requises, à moins qu'elles ne soient manifestement inaptes à apporter la preuve ou qu'il s'agisse de prouver un fait sans pertinence (cf. ATF 131 I 153 consid. 3; 124 I 241 consid. 2; 121 I 306 consid. 1b). La jurisprudence a également déduit de la garantie constitutionnelle précitée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130 II 530 consid. 4.3 p. 540; 129 I 232 consid. 3.2 p. 236 et les arrêts cités). Il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 De jurisprudence constante, le Tribunal fédéral se montre réservé en matière de constatation des faits et d'appréciation des preuves, vu le large pouvoir qu'il reconnaît en ce domaine aux juridictions cantonales ( ATF 120 Ia 31 consid. 4b p. 40; 104 Ia 381 consid. 9 p. 399 et les arrêts cités).</w:t>
      </w:r>
    </w:p>
    <w:p>
      <w:r>
        <w:rPr>
          <w:b/>
        </w:rPr>
        <w:t>E. 2.2</w:t>
      </w:r>
    </w:p>
    <w:p>
      <w:r>
        <w:t>Le litige porté devant l'autorité précédente ayant trait aux conditions de vente, seules étaient déterminantes les constatations de fait y relatives, découlant de l'application des art. 135 et 156 al. 1 LP et 102/45 ss ORFI. Parmi les nombreuses conditions qu'énumèrent ces dispositions figure notamment celle - prêtant seule à discussion en l'occurrence - de la désignation de l'immeuble ( art. 45 al. 1 ORFI ). En l'espèce, celui-ci est désigné, dans l'état des charges annexé aux conditions de vente ( art. 45 al. 2 ORFI ), de la façon suivante: « il consiste en la parcelle n° 6913, dont la surface totale est de 208 m2 [...] sur laquelle est érigé le bâtiment n° H490 (habitation - activités d'une surface totale de 224 m2 sur plusieurs immeubles) ». C'est exactement le contenu de l'état descriptif de l'immeuble figurant dans l'extrait du registre foncier du 23 décembre 2008, vérifié le 27 octobre 2009 (cf. art. 28 al. 1 et 99 al. 1 ORFI). La décision attaquée constatant que « l'état des charges contient la désignation de l'immeuble mis en vente, à savoir la parcelle n° 6913, d'une surface de 208 m2 et l'indication qu'un bâtiment H490 d'une surface de 224 m2 est érigé sur cette parcelle », c'est manifestement à tort que la recourante fait grief à la commission cantonale de surveillance de n'avoir pas constaté l'étendue précise de la parcelle n° 6913, dont les limites, bien définies, n'étaient d'ailleurs pas contestées. La parcelle n° 6913 faisant seule l'objet de la procédure d'exécution forcée en cause, la recourante ne saurait reprocher à l'autorité cantonale de n'avoir pas fait état des inscriptions du registre foncier relatives à la parcelle n° 4595. La commission de surveillance a néanmoins relevé l'absence, dans l'état des charges, de toute mention expresse « quant au fait que le bâtiment H490 est érigé sur les parcelles n° 6913 d'une surface de 208 m2 et n° 4595 d'une surface de 16 m2 »; ce faisant, elle a tenu compte de la « situation foncière des deux parcelles », situation particulière engendrée par le fait que la surface au sol du bâtiment H490, répartie sur « plusieurs immeubles » selon le registre foncier, se révélait supérieure à celle de l'immeuble à réaliser dans la poursuite en cause. Les circonstances qui avaient prévalu lors de la décision du 23 janvier 2002 étant restées identiques, la commission s'est référée à cette décision, demeurée du reste inattaquée. Cette décision constate en substance que la situation des deux parcelles consacre un cas d'empiètement régi par l' art. 674 CC , que ce cas n'est pas réalisé en l'état du fait que les deux parcelles sont la propriété d'une seule et même personne, mais qu'il est appelé à se concrétiser en cas d'enchères forcées, dans le sens manifestement d'un rattachement du bâtiment à la parcelle n° 6913, la plus importante des deux et sur laquelle les gages avaient été constitués. Ladite décision précise en outre qu'à défaut d'inscription d'une servitude d'empiètement sur la parcelle n° 4595 avant la vente - à l'initiative de la propriétaire et non de l'office -, il incomberait à ce dernier d'attirer l'attention des acquéreurs éventuels sur ces circonstances particulières et de faire mention, dans les conditions de vente et lors des enchères, de l'existence de l'empiètement ainsi que du fait que la parcelle n° 4595 ne changerait pas de propriétaire après l'adjudication. Contrairement à ce qu'affirme la recourante, la commission cantonale de surveillance a ainsi constaté des faits pertinents, et ce de manière claire et suffisante au regard des exigences de la jurisprudence rappelées plus haut (consid. 2.1). Ainsi que le relève la décision attaquée, certaines questions auraient d'ailleurs pu faire partie de la mission de l'expert dans le cadre de la nouvelle estimation requise selon l' art. 9 al. 2 ORFI , mais la recourante ne s'étant pas acquittée de l'avance de frais exigée à cet effet, la requête de nouvelle expertise avait dû être déclarée irrecevable. Les griefs de violation du droit d'être entendu et d'arbitraire soulevés en relation avec l'établissement des faits doivent donc être rejetés.</w:t>
      </w:r>
    </w:p>
    <w:p>
      <w:r>
        <w:rPr>
          <w:b/>
        </w:rPr>
        <w:t>E. 3</w:t>
      </w:r>
    </w:p>
    <w:p>
      <w:r>
        <w:t>La recourante invoque à tort la violation de son droit de propriété en se prévalant des dispositions de l' art. 667 CC sur l'étendue de la propriété du sol en hauteur et profondeur. En effet, selon la jurisprudence, c'est l' art. 674 al. 3 CC sur les empiètements qui est applicable par analogie lorsque, comme en l'espèce, les deux immeubles appartiennent au même propriétaire lors de la construction et parviennent ensuite en des mains différentes ( ATF 78 II 131 consid. 4 p. 135 s.; 97 III 89 consid. 4 p. 98). Au demeurant, l'objection de la recourante tirée de la prétendue impossibilité de réaliser l'objet du gage sans qu'il soit porté atteinte à son droit de propriété sur la parcelle n° 4595 est une contestation relative à l'assiette ou l'étendue de la garantie offerte par le droit de gage. Cette contestation pouvait être soulevée par la voie de l'opposition au commandement de payer selon l' art. 153 al. 2 LP et tranchée par le juge dans une action en constatation ou en négation de droit ( ATF 129 III 197 consid. 2.5 p. 200; cf. P.-R. Gilliéron, Commentaire de la loi fédérale sur la poursuite pour dettes et la faillite, n. 26 ad art. 153 LP ). Faute d'avoir utilisé cette voie, la recourante ne peut plus soulever une telle contestation au stade du dépôt de l'état des charges et des conditions de vente ( ATF 119 III 100 consid. 2a, jurisprudence applicable également au tiers propriétaire en vertu de l' ATF 121 III 28 consid. 2b; cf. Gilliéron, op. cit., n. 36 ad art. 155 LP ).</w:t>
      </w:r>
    </w:p>
    <w:p>
      <w:r>
        <w:rPr>
          <w:b/>
        </w:rPr>
        <w:t>E. 4</w:t>
      </w:r>
    </w:p>
    <w:p>
      <w:r>
        <w:t>Il résulte de ce qui précède que le recours doit être rejeté, aux frais de la recourante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