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335/2013 vom 26. September 2013</w:t>
      </w:r>
    </w:p>
    <w:p>
      <w:r>
        <w:t>Bundesgericht, 2013-09-26, FR</w:t>
      </w:r>
    </w:p>
    <w:p>
      <w:r>
        <w:rPr>
          <w:b/>
        </w:rPr>
        <w:t xml:space="preserve">Quelle: </w:t>
      </w:r>
      <w:r>
        <w:t>https://mcp.opencaselaw.ch/entscheid/bger_5A_335_2013</w:t>
      </w:r>
    </w:p>
    <w:p>
      <w:r>
        <w:t>FR: TF 5A 335/2013 du 26 septembre 2013</w:t>
      </w:r>
    </w:p>
    <w:p>
      <w:r>
        <w:t>IT: TF 5A 335/2013 del 26 settembre 2013</w:t>
      </w:r>
    </w:p>
    <w:p>
      <w:pPr>
        <w:pStyle w:val="Heading2"/>
      </w:pPr>
      <w:r>
        <w:t>Regeste</w:t>
      </w:r>
    </w:p>
    <w:p>
      <w:r>
        <w:t>procès-verbal de non-lieu de saisie, for de poursuite | Droit des poursuites et faillites</w:t>
      </w:r>
    </w:p>
    <w:p>
      <w:pPr>
        <w:pStyle w:val="Heading2"/>
      </w:pPr>
      <w:r>
        <w:t>Erwägungen</w:t>
      </w:r>
    </w:p>
    <w:p>
      <w:r>
        <w:rPr>
          <w:b/>
        </w:rPr>
        <w:t>E. 1</w:t>
      </w:r>
    </w:p>
    <w:p>
      <w:r>
        <w:t>Le recours a été déposé dans le délai légal ( art. 100 al. 2 let. a LTF ) à l'encontre d'une décision finale ( art. 90 LTF ; ATF 135 I 187 consid. 1.2, avec la jurisprudence citée) rendue en matière de poursuite pour dettes ( art. 72 al. 2 let. a LTF , en relation avec l' art. 19 LP ) par une autorité de surveillance statuant en dernière (unique) instance cantonale ( art. 75 al. 1 et 2 LTF ; Levante, in : Basler Kommentar, SchKG I, 2e éd., 2010, n° 19 ad art. 19 LP ); il est ouvert indépendamment de la valeur litigieuse ( art. 74 al. 2 let . c LTF); le poursuivi, qui a été débouté par la juridiction précédente, a qualité pour recourir ( art. 76 al. 1 LTF ).</w:t>
      </w:r>
    </w:p>
    <w:p>
      <w:r>
        <w:rPr>
          <w:b/>
        </w:rPr>
        <w:t>E. 2</w:t>
      </w:r>
    </w:p>
    <w:p>
      <w:r>
        <w:t>Il ne résulte pas de la décision attaquée que le grief tiré d'une violation de la « liberté d'établissement » aurait été invoqué devant la juridiction précédente; il est ainsi irrecevable, faute d'épuisement des instances cantonales ( art. 75 al. 1 LTF ; ATF 137 III 417 consid. 1.2 et les arrêts cités). Quoi qu'il en soit, il est mal fondé. L'autorité de surveillance n'a pas « interdit » au recourant de s'établir en France, mais a retenu qu'un tel changement de résidence n'avait précisément pas été établi.</w:t>
      </w:r>
    </w:p>
    <w:p>
      <w:r>
        <w:rPr>
          <w:b/>
        </w:rPr>
        <w:t>E. 3</w:t>
      </w:r>
    </w:p>
    <w:p>
      <w:r>
        <w:t>Préalablement, la juridiction cantonale a considéré que la plainte était recevable, en particulier qu'elle n'était pas tardive comme le soutenait l'Office, et que celui-ci avait commis un « déni de justice formel » en ne transmettant pas la demande de reconsidération pour valoir plainte au sens de l' art. 17 LP ( cf . supra, let. A.b). Ces points ne sont pas critiqués en instance fédérale, de sorte qu'il n'y a pas lieu d'en débattre ( art. 42 al. 2 LTF ; ATF 137 III 580 consid. 1.3 et les arrêts cités).</w:t>
      </w:r>
    </w:p>
    <w:p>
      <w:r>
        <w:rPr>
          <w:b/>
        </w:rPr>
        <w:t>E. 4</w:t>
      </w:r>
    </w:p>
    <w:p>
      <w:r>
        <w:t>La présente cause concerne le for de la poursuite: le poursuivi prétend être domicilié en France depuis le 1er janvier 2005, tandis que l'autorité cantonale considère qu'il se trouve toujours à Genève.</w:t>
      </w:r>
    </w:p>
    <w:p>
      <w:r>
        <w:rPr>
          <w:b/>
        </w:rPr>
        <w:t>E. 4.1</w:t>
      </w:r>
    </w:p>
    <w:p>
      <w:r>
        <w:t>En vertu de l' art. 46 al. 1 LP , le for de la poursuite est au domicile du débiteur. Cette disposition se réfère à la notion de domicile civil au sens des art. 20 al. 1 let. a LDIP et 23 al. 1 CC (Gilliéron, Poursuite pour dettes, faillite et concordat, 5e éd., 2012, n° 375, avec la jurisprudence citée); le for de la poursuite se trouve ainsi au lieu où réside le débiteur poursuivi avec l'intention de s'établir. En matière de domicile, le lieu où la personne réside et son intention de s'établir sont des points de fait dont la solution lie en principe le Tribunal fédéral ( art. 105 al. 1 LTF ); en revanche, la conclusion à en tirer quant à l'intention de s'établir est une question de droit ( ATF 136 II 405 consid. 4.3 et les arrêts cités).</w:t>
      </w:r>
    </w:p>
    <w:p>
      <w:r>
        <w:rPr>
          <w:b/>
        </w:rPr>
        <w:t>E. 4.2</w:t>
      </w:r>
    </w:p>
    <w:p>
      <w:r>
        <w:t>En l'espèce, la juridiction précédente s'est fondée sur une décision du 7 juillet 2011 qui, « après complète instruction », avait constaté que le poursuivi était domicilié à Genève. Cette décision a été confirmée, faute d'éléments nouveaux, le 11 octobre 2012 ( cf. supra , let. A.c). L'autorité cantonale a retenu à cet égard que les affirmations de l'avocat genevois du poursuivi dans son courrier du 15 septembre 2011 et l'attestation administrative de la Mairie de Y.________ (Ain/France) du 22 juin 2010 ( cf . supra , let. A.d) n'étaient pas des faits nouveaux, dès lors que, dans les registres de l'Office cantonal de la population, le poursuivi s'était annoncé partant pour cette commune française depuis le 31 décembre 2004. Contrairement à ce qu'affirme le recourant, l'autorité cantonale ne s'est pas fondée sur des « décisions contradictoires » pour retenir l'absence de domicile en France. Il est vrai que, dans une décision du 27 décembre 2006, la Commission de surveillance des Offices des poursuites et des faillites du canton de Genève (précédente dénomination de l'autorité de surveillance) avait admis que le poursuivi était bien domicilié dans ce pays depuis le 1er janvier 2005. Toutefois, le 7 juillet 2011, l'autorité cantonale a « reconsidér [é] la décision [...] qui avait retenu en décembre 2006 que [le poursuivi] avait constitué à ... à Y.________ dans l'Ain son centre effectif d'activités de sa société agricole et, partant, centre d'intérêts personnels, professionnels et sociaux », des enquêtes ayant « mis en évidence des éléments qui conduisent désormais à considérer que le poursuivi n'a pas déménagé de manière effective à Y.________ (Ain/France) mais est resté domicilié à X.________ ... » (p. 9-10). L'autorité de surveillance a expressément confirmé une telle appréciation dans sa décision du 11 octobre 2012; elle a estimé que l'intéressé n'avait pas établi à satisfaction des faits nouveaux permettant d'admettre - comme elle l'avait retenu en 2006 - qu'il était domicilié en France (p. 11-12). Vu ce qui précède, on ne peut reprocher à l'autorité de surveillance de ne pas avoir instruit derechef la question du domicile, faute d'éléments nouveaux susceptibles d'infirmer son opinion. Un tel reproche apparaît d'autant plus injustifié que l'intéressé n'a pas remis en discussion les décisions qui - à l'inverse de la position adoptée en 2006 - avaient nié une domiciliation en France. L'attestation administrative produite par le conseil du recourant - dont l'autorité précédente avait connaissance lorsqu'elle a statué le 11 octobre 2012 ( cf . p. 6 let. C) -, outre qu'elle ne fournit aucun élément nouveau, ne constitue qu'un simple indice qui ne saurait à lui seul emporter la conviction ( ATF 136 II 405 consid. 4.3; 125 III 100 consid. 3 et la jurisprudence citée). Enfin, il ne résulte pas de la décision entreprise que l'Etat de Genève notifierait en France ses « décisions en matière d'impôts notamment, en sa qualité de débiteur hors canton » ( art. 105 al. 1 LTF ) - sans que l'on sache, au demeurant, la nature de ces contributions publiques -, en sorte que l'allégation est nouvelle, partant irrecevable ( art. 99 al. 1 LTF ). Cela étant, le moyen pris d'une violation de l' art. 53 LP est dépourvu d'objet. Cette disposition s'applique en cas de changement de domicile , situation que l'autorité cantonale a précisément exclue en l'espèce. A ce propos, celle-ci n'a pas constaté que l'avis de saisie n'avait pas été « envoyé » au poursuivi, mais qu'il ne lui avait pas été « communiqué » (p. 10); en effet, cet acte avait été « expédié » par l'Office le 22 mars 2011, avant de lui être retourné en l'absence de destinataire à l'adresse indiquée (let. A.e p. 2). Il n'y a, dès lors, aucune constatation arbitraire des faits ( art. 97 al. 1 LTF , en relation avec l' art. 9 Cst. ; sur cette forme d'arbitraire: ATF 136 III 552 consid. 4.2 et les arrêts cités).</w:t>
      </w:r>
    </w:p>
    <w:p>
      <w:r>
        <w:rPr>
          <w:b/>
        </w:rPr>
        <w:t>E. 5</w:t>
      </w:r>
    </w:p>
    <w:p>
      <w:r>
        <w:t>Manifestement mal fondé, le recours doit être rejeté dans la mesure de sa recevabilité, aux frais du recourant ( art. 66 al. 1 LTF ). Il n'y a pas lieu d'accorder de dépens à l'intimé, qui n'a pas été invité à répondre sur le fond et s'en est remis à justice quant à la requête d'effet suspensif.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