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5A_334/2012 vom 18. Juni 2012</w:t>
      </w:r>
    </w:p>
    <w:p>
      <w:r>
        <w:t>Bundesgericht, 2012-06-18, DE</w:t>
      </w:r>
    </w:p>
    <w:p>
      <w:r>
        <w:rPr>
          <w:b/>
        </w:rPr>
        <w:t xml:space="preserve">Quelle: </w:t>
      </w:r>
      <w:r>
        <w:t>https://mcp.opencaselaw.ch/entscheid/bger_5A_334_2012</w:t>
      </w:r>
    </w:p>
    <w:p>
      <w:r>
        <w:t>FR: TF 5A_334/2012 du 18 juin 2012</w:t>
      </w:r>
    </w:p>
    <w:p>
      <w:r>
        <w:t>IT: TF 5A_334/2012 del 18 giugno 2012</w:t>
      </w:r>
    </w:p>
    <w:p>
      <w:pPr>
        <w:pStyle w:val="Heading2"/>
      </w:pPr>
      <w:r>
        <w:t>Erwägungen</w:t>
      </w:r>
    </w:p>
    <w:p>
      <w:r>
        <w:rPr>
          <w:b/>
        </w:rPr>
        <w:t>E. 1</w:t>
      </w:r>
    </w:p>
    <w:p>
      <w:r>
        <w:t>Gegen den Entscheid der (oberen) Aufsichtsbehörde in Schuldbetreibungs- und Konkurssachen ist streitwertunabhängig die Beschwerde in Zivilsachen gegeben ( Art. 72 Abs. 2 lit. a, Art. 74 Abs. 2 lit. c BGG und Art. 75 Abs. 1 BGG ). Die zehntägige Beschwerdefrist ( Art. 100 Abs. 2 lit. a BGG ) ist gewahrt. An sich wäre ein Antrag in der Sache und nicht ein blosser Rückweisungsantrag zu stellen, weil die Beschwerde in Zivilsachen ein reformatorisches Rechtsmittel ist (siehe Art. 107 Abs. 2 BGG ; BGE 133 III 489 E. 3.1 S. 490; 134 III 379 E. 1.3 S. 383; 136 V 131 E. 1.2 S. 135). Indes ist der Beschwerdeführer nicht anwaltlich vertreten und es ist aufgrund der ausführlichen Beschwerdebegründung auch klar, was der Beschwerdeführer in der Sache will, so dass die Beschwerde grundsätzlich zu behandeln ist, wobei auf Einzelheiten des Eintretens im Sachzusammenhang zurückzukommen sein wird.</w:t>
      </w:r>
    </w:p>
    <w:p>
      <w:r>
        <w:rPr>
          <w:b/>
        </w:rPr>
        <w:t>E. 2</w:t>
      </w:r>
    </w:p>
    <w:p>
      <w:r>
        <w:t>Mit Bezug auf die Beschwerde vom 26. Februar 2012 hat das Obergericht erwogen, dass diese erhoben worden sei, als das Beschwerdeverfahren noch vor dem Bezirksgericht Münchwilen pendent gewesen sei, weshalb sie sinngemäss als Rechtsverzögerungsbeschwerde entgegenzunehmen sei. Soweit sie sich direkt gegen das Betreibungsamt richte, könne auf sie nicht eingetreten werden. Soweit sie sich gegen das Bezirksgericht richte, sei sie abzuweisen, weil dieses inzwischen seinen Entscheid gefällt habe.</w:t>
      </w:r>
    </w:p>
    <w:p>
      <w:r>
        <w:t>Aus der Beschwerde an das Bundesgericht geht nicht klar hervor, ob sich der Schuldner mit seiner allgemeinen Kritik auch gegen diesen Teil des angefochtenen Entscheides wendet. Weil diesbezüglich aber jedenfalls keine nachvollziehbare Beschwerdebegründung vorliegt ( Art. 42 Abs. 2 BGG ), wäre insoweit auf die Beschwerde nicht einzutreten.</w:t>
      </w:r>
    </w:p>
    <w:p>
      <w:r>
        <w:rPr>
          <w:b/>
        </w:rPr>
        <w:t>E. 3</w:t>
      </w:r>
    </w:p>
    <w:p>
      <w:r>
        <w:t>Hinsichtlich der Beschwerde vom 19. März 2012 hat sich das Obergericht zuerst mit dem Vorbringen des Schuldners auseinander gesetzt, das Betreibungsamt A.________ sei für "Rechtseingriffe" gegen ihn unzuständig gewesen, weil beim Betreibungsamt B.________ noch laufende Pfändungen bestünden, welche vorrangig seien. Es hat erwogen, der Schuldner habe im Verlauf des Jahres 2011 seinen Wohnsitz von B.________ nach C.________ verlegt, womit das Betreibungsamt A.________ ausschliesslich für die (gemäss obergerichtlichen Feststellungen am 26. September 2011, 26. Oktober 2011, 1. Dezember 2011 und 19. Januar 2012 erfolgten) Pfändungen zuständig geworden sei. Im Übrigen sei es für die in B.________ angehobene Betreibung zuständig geworden, für welche dem Schuldner die Pfändung noch nicht angekündigt worden sei.</w:t>
      </w:r>
    </w:p>
    <w:p>
      <w:r>
        <w:t>Diesbezüglich rügt der Beschwerdeführer eine Verletzung von Art. 53 SchKG , welche den allgemeinen Art. 4 SchKG unter bestimmten Bedingungen ausser Kraft setze. Eine Rechtsverletzung ist indes nicht ersichtlich. Soweit es um Betreibungen geht, in welchen die Pfändungsankündigung bis zur Verlegung des Wohnsitzes noch nicht angezeigt worden ist, werden diese am neuen Wohnsitz fortgesetzt ( Art. 53 SchKG ); solche Betreibungen waren fortan direkt durch das Betreibungsamt A.________ zu führen. Soweit die Pfändungsankündigung vor dem Wohnsitzwechsel erfolgt ist, wird die Betreibung vom ursprünglichen Betreibungsamt fortgeführt, weil mit der Pfändungsankündigung gemäss Art. 53 SchKG der Betreibungsort fixiert wird. Dies ist vorliegend offenbar für bestimmte Betreibungen der Fall, welche noch durch das Betreibungsamt B.________ geführt werden. Gemäss Art. 4 Abs. 2 SchKG darf das Betreibungsamt aber ausserhalb seines Zuständigkeitsbereiches keine Pfändungen vollziehen, sondern hat es hierfür das Betreibungsamt am neuen Wohnsitz des Schuldner mit entsprechenden requisitorischen Handlungen zu betrauen (vgl. ROTH/ WALTHER, in: Basler Kommentar, N. 7 f. zu Art. 4 SchKG ; MÖCKLI, in: Kurzkommentar SchKG, N. 7 zu Art. 4 SchKG ). Indem dies vorliegend so gehandhabt worden ist, wurde kein Recht verletzt, zumal sowohl die Aufforderung zur periodischen Einreichung des Verdienstformulars und von Bankauszügen wie auch deren direkte Einholung bei den betroffenen Banken sowie die Anzeige an den Drittschuldner im Sinn von Art. 99 SchKG zu den Vollzugshandlungen bei einer Verdienstpfändung gehören, für welche ausschliesslich das requierte Amt zuständig ist.</w:t>
      </w:r>
    </w:p>
    <w:p>
      <w:r>
        <w:rPr>
          <w:b/>
        </w:rPr>
        <w:t>E. 4</w:t>
      </w:r>
    </w:p>
    <w:p>
      <w:r>
        <w:t>In materieller Hinsicht hat das Obergericht festgehalten, dass die Anzeige an die U.________ AG als Drittschuldnerin angesichts der konkreten Umstände als Sicherungsmassnahme angemessen gewesen sei und das Betreibungsamt A.________ dem Beschwerdeführer das Existenzminimum und die notwendigen Gewinnungs- bzw. Gestehungskosten ausbezahlt hätte, womit dieser seinen laufenden Verpflichtungen hätte nachkommen können. Ferner hat es erwogen, dass der Beschwerdeführer, welcher geltend gemacht hatte, die Bargeldbezüge seiner Lebenspartnerin von Fr. 15'500.-- seien in seinem Auftrag erfolgt, den Verwendungszweck nicht dargelegt habe, dass er so oder anders erhebliche Einnahmen von der U.________ AG erhalten habe, ohne diese gegenüber dem Betreibungsamt zu deklarieren, woran auch die neu eingereichte und als Verdienstabrechnung bezeichnete Aufstellung vom 8. März 2012 nichts ändere, zumal die darin behaupteten Betriebs- und Gewinnungskosten von angeblich Fr. 92'315.35 weder begründet noch belegt seien, und dass er sich nachträgliche AHV-Forderungen selbst zuzuschreiben hätte, da er den Abschluss eines ihm von der U.________ AG angebotenen Arbeitsvertrages abgelehnt habe, um offenbar seinen Erwerb dem Zugriff des Betreibungsamtes zu entziehen.</w:t>
      </w:r>
    </w:p>
    <w:p>
      <w:r>
        <w:t>Soweit der Beschwerdeführer vorbringt, er könne die Krankenkassenprämien nicht bezahlen, er habe für die Miete sogar das Sparschwein des Sohnes opfern müssen und er werde bald auf Sozialhilfe angewiesen sein, so ist auf die obergerichtliche Erwägung zu verweisen, dass das Betreibungsamt A.________ dem Schuldner aus den Zahlungen seitens der U.________ AG das Existenzminimum und die notwendigen Gewinnungskosten überlässt (bzw. überlassen würde, denn bislang hat die U.________ AG keine Zahlungen überwiesen).</w:t>
      </w:r>
    </w:p>
    <w:p>
      <w:r>
        <w:t>Wenn der Beschwerdeführer die Erwägungen zu den Bezügen seiner Lebenspartnerin und zur "Verdienstabrechnung" vom 8. März 2012 kritisiert, so betrifft dies den für das Bundesgericht verbindlich festgestellten Sachverhalt ( Art. 105 Abs. 1 BGG ). Daran ändert auch die Behauptung nichts, das Obergericht habe Art. 20a SchKG verletzt und es hätte ihn gemäss Art. 32 SchKG auf Fehler aufmerksam machen müssen. Gemäss Art. 20a Abs. 2 Ziff. 2 Satz 2 SchKG trifft den Beschwerdeführer eine Mitwirkungspflicht, in deren Rahmen er die Aufsichtsbehörde in seinen Beschwerden von sich aus über die wesentlichen Tatsachen hätte unterrichten und die ihm zugänglichen Beweismittel angeben müssen (COMETTA/MÖCKLI, in: Basler Kommentar, N. 9 zu Art. 20a SchKG ), da ihm dies vorliegend offensichtlich ohne weiteres möglich und zumutbar gewesen wäre, so dass die Aufsichtsbehörde, zumal die obere, nicht verpflichtet war, ihn vor der Entscheidfällung anzuhalten, seine Behauptungen mit Unterlagen zu dokumentieren.</w:t>
      </w:r>
    </w:p>
    <w:p>
      <w:r>
        <w:t>Wenn der Beschwerdeführer schliesslich die obergerichtlichen Ausführungen zur möglichen AHV-Nachzahlung als unwürdig und diejenigen im Zusammenhang mit dem angebotenen Arbeitsvertrag als Stimmungsmache kritisiert, so stellt dies eine allgemeine Urteilsschelte dar, welche in keinem konkreten Zusammenhang mit dem Verfahrensgegenstand steht. Nicht einzutreten ist sodann auf die allgemeine Kritik am Vorgehen des Betreibungsamtes, namentlich auch im Zusammenhang mit dem Schreiben vom 4. Juni 2012, denn Anfechtungsobjekt der Beschwerde in Zivilsachen kann ausschliesslich der Entscheid des Obergerichtes sein ( Art. 75 Abs. 1 BGG ).</w:t>
      </w:r>
    </w:p>
    <w:p>
      <w:r>
        <w:rPr>
          <w:b/>
        </w:rPr>
        <w:t>E. 5</w:t>
      </w:r>
    </w:p>
    <w:p>
      <w:r>
        <w:t>Zusammenfassend ergibt sich, dass die Beschwerde in Zivilsachen abzuweisen ist, soweit auf sie eingetreten werden kann. Wie die vorstehenden Erwägungen zeigen, muss sie als von Anfang an aussichtslos betrachtet werden, weshalb es dem Gesuch um unentgeltliche Rechtspflege an den nötigen materiellen Voraussetzungen fehlt ( Art. 64 Abs. 1 BGG ) und dieses folglich abzuweisen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