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5A_333/2022 vom 18. Mai 2022</w:t>
      </w:r>
    </w:p>
    <w:p>
      <w:r>
        <w:t>Bundesgericht, 2022-05-18, DE</w:t>
      </w:r>
    </w:p>
    <w:p>
      <w:r>
        <w:rPr>
          <w:b/>
        </w:rPr>
        <w:t xml:space="preserve">Quelle: </w:t>
      </w:r>
      <w:r>
        <w:t>https://mcp.opencaselaw.ch/entscheid/bger_5A_333_2022</w:t>
      </w:r>
    </w:p>
    <w:p>
      <w:r>
        <w:t>FR: TF 5A_333/2022 du 18 mai 2022</w:t>
      </w:r>
    </w:p>
    <w:p>
      <w:r>
        <w:t>IT: TF 5A_333/2022 del 18 maggio 2022</w:t>
      </w:r>
    </w:p>
    <w:p>
      <w:pPr>
        <w:pStyle w:val="Heading2"/>
      </w:pPr>
      <w:r>
        <w:t>Erwägungen</w:t>
      </w:r>
    </w:p>
    <w:p>
      <w:r>
        <w:rPr>
          <w:b/>
        </w:rPr>
        <w:t>E. 1</w:t>
      </w:r>
    </w:p>
    <w:p>
      <w:r>
        <w:t>Der Beschwerdeführer wird vom Kanton Basel-Landschaft für Steuern und eine Ordnungsbusse über einen Betrag von Fr. 29'864.65 nebst Zins betrieben (Betreibung Nr. yyy des Betreibungsamtes Basel-Landschaft). Die auf den 24. Dezember 2021 datierte Pfändungsankündigung wurde dem Beschwerdeführer am 4. Januar 2022 zugestellt.</w:t>
      </w:r>
    </w:p>
    <w:p>
      <w:r>
        <w:t>Am 14. Januar 2022 (Postaufgabe) erhoben der Beschwerdeführer und seine Ehefrau bei der Aufsichtsbehörde über Schuldbetreibung und Konkurs Basel-Landschaft Beschwerde gegen die Pfändungsankündigungen in der vorliegenden und drei weiteren Betreibungen. Die Aufsichtsbehörde legte vier Verfahren an, darunter das Verfahren Nr. 420 22 16 betreffend die Pfändungsankündigung in der Betreibung Nr. yyy. Mit Entscheid vom 12. April 2022 trat die Aufsichtsbehörde auf die Beschwerde nicht ein.</w:t>
      </w:r>
    </w:p>
    <w:p>
      <w:r>
        <w:t>Dagegen - sowie gegen die drei weiteren Entscheide der Aufsichtsbehörde - haben der Beschwerdeführer und seine Ehefrau am 9. Mai 2022 (Postaufgabe) Beschwerde an das Bundesgericht erhoben. Das Bundesgericht hat die vier Verfahren 5A_331/2022, 5A_332/2022, 5A_333/2022 und 5A_334/2022 angelegt.</w:t>
      </w:r>
    </w:p>
    <w:p>
      <w:r>
        <w:rPr>
          <w:b/>
        </w:rPr>
        <w:t>E. 2</w:t>
      </w:r>
    </w:p>
    <w:p>
      <w:r>
        <w:t>Angefochten ist ein Nichteintretensentscheid. Thema des bundesgerichtlichen Verfahrens ist demnach einzig, ob die Aufsichtsbehörde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mit den Gründen für den Nichteintretensentscheid (keine genügende Nennung eines Beschwerdegrundes, Bestand oder Vollstreckbarkeit der betriebenen Forderung nicht Gegenstand des Beschwerdeverfahrens) auseinander. Stattdessen wendet er sich erneut gegen die Höhe der Steuerforderung und gegen die Ordnungsbusse. Er wirft der Aufsichtsbehörde vor, nicht auf seinen Hinweis eingegangen zu sein, die Steuererklärung ordentlich eingereicht zu haben. Er legt jedoch nicht dar, weshalb die Aufsichtsbehörde darauf hätte eingehen müssen.</w:t>
      </w:r>
    </w:p>
    <w:p>
      <w:r>
        <w:t>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