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5A_332/2026 vom 23. April 2026</w:t>
      </w:r>
    </w:p>
    <w:p>
      <w:r>
        <w:t>Bundesgericht, 2026-04-23, DE</w:t>
      </w:r>
    </w:p>
    <w:p>
      <w:r>
        <w:rPr>
          <w:b/>
        </w:rPr>
        <w:t xml:space="preserve">Quelle: </w:t>
      </w:r>
      <w:r>
        <w:t>https://mcp.opencaselaw.ch/entscheid/bger_5A_332_2026</w:t>
      </w:r>
    </w:p>
    <w:p>
      <w:r>
        <w:t>FR: TF 5A_332/2026 du 23 avril 2026</w:t>
      </w:r>
    </w:p>
    <w:p>
      <w:r>
        <w:t>IT: TF 5A_332/2026 del 23 aprile 2026</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140 III 115 E. 2; 142 III 364 E. 2.4).</w:t>
      </w:r>
    </w:p>
    <w:p>
      <w:r>
        <w:rPr>
          <w:b/>
        </w:rPr>
        <w:t>E. 2</w:t>
      </w:r>
    </w:p>
    <w:p>
      <w:r>
        <w:t>Die Beschwerdeführerin äussert sich in ihrer 20-seitigen Eingabe ab S. 5 ff. zum Sachverhalt bzw. zur Beweiswürdigung (Kritik am Gutachten; Kritik an den Pflegeeltern; Darstellung ihrer Eigenschaften aus persönlicher Sicht; Behauptung, wonach sie ihrem Sohn ein stabiles Umfeld biete; Behauptung einer genügenden bzw. einer sehr guten Bindungstoleranz; Behauptung, der Sohn wolle in Wahrheit zu ihr zurück). Sie tut dies indes durchgehend in appellatorischer und damit in ungenügender Form. Willkürrügen werden keine erhoben, auch nicht der Sache nach. Ferner werden Sachverhaltsbeanstandungen nicht dadurch zu (frei überprüfbaren) rechtlichen Vorbringen, dass sie unter der Überschrift "unrichtige Rechtsanwendung im vorinstanzlichen Entscheid im Einzelnen" (S. 5 der Beschwerde) erfolgen.</w:t>
      </w:r>
    </w:p>
    <w:p>
      <w:r>
        <w:t>Ausgehend von den somit willkürfreien beweiswürdigenden Sachverhaltsfeststellungen im angefochtenen Entscheid ist mit den eingangs auf S. 4 f. der Beschwerde unter der Überschrift "unrichtige Rechtsanwendung" erfolgenden Ausführungen keine Rechtsverletzung im Zusammenhang mit Art. 310 ZGB dargetan durch das Vorbringen, die Fremdplatzierung müsse die ultima ratio bleiben. Dieses Vorbringen ist zwar in seiner Abstraktheit zutreffend; es geht aber von der mütterlichen Behauptung auf S. 5 aus, ihre Erziehungsfähigkeit könne nicht ernsthaft in Zweifel gezogen werden, und bleibt ohne konkreten Bezug auf die im angefochtenen Entscheid willkürfrei ausführlich festgestellte gegenteilige Tatsachenbasis.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