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332/2020 vom 18. Mai 2020</w:t>
      </w:r>
    </w:p>
    <w:p>
      <w:r>
        <w:t>Bundesgericht, 2020-05-18, DE</w:t>
      </w:r>
    </w:p>
    <w:p>
      <w:r>
        <w:rPr>
          <w:b/>
        </w:rPr>
        <w:t xml:space="preserve">Quelle: </w:t>
      </w:r>
      <w:r>
        <w:t>https://mcp.opencaselaw.ch/entscheid/bger_5A_332_2020</w:t>
      </w:r>
    </w:p>
    <w:p>
      <w:r>
        <w:t>FR: TF 5A 332/2020 du 18 mai 2020</w:t>
      </w:r>
    </w:p>
    <w:p>
      <w:r>
        <w:t>IT: TF 5A 332/2020 del 18 maggio 2020</w:t>
      </w:r>
    </w:p>
    <w:p>
      <w:pPr>
        <w:pStyle w:val="Heading2"/>
      </w:pPr>
      <w:r>
        <w:t>Regeste</w:t>
      </w:r>
    </w:p>
    <w:p>
      <w:r>
        <w:t>erbrechtliche Verfahren | Erbrecht</w:t>
      </w:r>
    </w:p>
    <w:p>
      <w:pPr>
        <w:pStyle w:val="Heading2"/>
      </w:pPr>
      <w:r>
        <w:t>Erwägungen</w:t>
      </w:r>
    </w:p>
    <w:p>
      <w:r>
        <w:rPr>
          <w:b/>
        </w:rPr>
        <w:t>E. 1</w:t>
      </w:r>
    </w:p>
    <w:p>
      <w:r>
        <w:t>Die Rechtsmittel nach dem Bundesgerichtsgesetz sind reformatorisch (vgl. Art. 107 Abs. 2 BGG ). Daher darf sich die beschwerdeführende Partei nicht darauf beschränken, die Aufhebung oder Kassation des angefochtenen Entscheides zu beantragen; vielmehr ist ein Antrag in der Sache zu stellen. Es ist demnach anzugeben, welche Punkte des Entscheides angefochten und welche Abänderungen beantragt werden ( BGE 133 III 489 E. 3.1 S. 490; 134 III 379 E. 1.3 S. 383; 137 II 313 E. 1.3 S. 317; letztmals Urteil 4A_578/2019 vom 16. April 2020 E. 1.2). In Bezug auf den angefochtenen Beschluss vom 31. März 2020 wird ausschliesslich ein kassatorisches Begehren gestellt. Auf die Beschwerde ist deshalb mangels eines genügenden Rechtsbegehrens nicht einzutreten.</w:t>
      </w:r>
    </w:p>
    <w:p>
      <w:r>
        <w:rPr>
          <w:b/>
        </w:rPr>
        <w:t>E. 2</w:t>
      </w:r>
    </w:p>
    <w:p>
      <w:r>
        <w:t>Im Übrigen würde die Beschwerde in zweifacher Hinsicht auch an der unzureichenden bzw. fehlenden Beschwerdebegründung scheitern: Grundsätzlich können nur Endentscheide beim Bundesgericht angefochten werden ( Art. 90 BGG ). Der obergerichtliche Beschluss ist, weil das Verfahren vor erster Instanz weitergeht, kein End-, sondern ein Zwischenentscheid. Ein solcher kann nur ganz ausnahmsweise, nämlich unter den besonderen Voraussetzungen von Art. 93 Abs. 1 BGG mit Beschwerde beim Bundesgericht angefochten werden (ausführlich zum nicht wieder gutzumachenden Nachteil insb. BGE 142 III 798 E. 2.2 S. 801), wobei diese in der Beschwerde darzutun sind ( BGE 137 III 324 E. 1.1 S. 329; 141 IV 289 E. 1.3 S. 292). Eine solche Darlegung erfolgt nicht. Ferner ist die Vorinstanz auf das Rechtsmittel des Beschwerdeführers nicht eingetreten, weshalb Streitgegenstand grundsätzlich nur die Frage bilden kann, ob die Vorinstanz zu Recht einen Nichteintretensentscheid gefällt hat ( BGE 135 II 38 E. 1.2 S. 41). Hierzu müsste sich der Beschwerdeführer inhaltlich äussern und darlegen, inwiefern mit dem Nichteintretensentscheid Recht verletzt worden sein soll ( Art. 42 Abs. 2 BGG ; BGE 140 III 115 E. 2 S. 116; 142 III 364 E. 2.4 S. 368). Hierzu findet sich ebenfalls keine nachvollziehbare Darlegung.</w:t>
      </w:r>
    </w:p>
    <w:p>
      <w:r>
        <w:rPr>
          <w:b/>
        </w:rPr>
        <w:t>E. 3</w:t>
      </w:r>
    </w:p>
    <w:p>
      <w:r>
        <w:t>Nach dem Gesagten ist auf die Beschwerde im vereinfachten Verfahren nach Art. 108 Abs. 1 lit. a und b BGG nicht einzutreten.</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