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5A_330/2011 vom 22. September 2011</w:t>
      </w:r>
    </w:p>
    <w:p>
      <w:r>
        <w:t>Bundesgericht, 2011-09-22, DE</w:t>
      </w:r>
    </w:p>
    <w:p>
      <w:r>
        <w:rPr>
          <w:b/>
        </w:rPr>
        <w:t xml:space="preserve">Quelle: </w:t>
      </w:r>
      <w:r>
        <w:t>https://mcp.opencaselaw.ch/entscheid/bger_5A_330_2011</w:t>
      </w:r>
    </w:p>
    <w:p>
      <w:r>
        <w:t>FR: TF 5A_330/2011 du 22 septembre 2011</w:t>
      </w:r>
    </w:p>
    <w:p>
      <w:r>
        <w:t>IT: TF 5A_330/2011 del 22 settembre 2011</w:t>
      </w:r>
    </w:p>
    <w:p>
      <w:pPr>
        <w:pStyle w:val="Heading2"/>
      </w:pPr>
      <w:r>
        <w:t>Erwägungen</w:t>
      </w:r>
    </w:p>
    <w:p>
      <w:r>
        <w:rPr>
          <w:b/>
        </w:rPr>
        <w:t>E. 1.1</w:t>
      </w:r>
    </w:p>
    <w:p>
      <w:r>
        <w:t>Entscheide kantonaler Aufsichtsbehörden über Verfügungen der Vollstreckungsorgane gemäss Art. 17 SchKG - wie der Arrestvollzug ( Art. 275 SchKG ) - unterliegen der Beschwerde in Zivilsachen ( Art. 72 Abs. 2 lit. a BGG i.V.m. Art. 19 SchKG ). Sie ist unabhängig von einer gesetzlichen Streitwertgrenze gegeben ( Art. 74 Abs. 2 lit. c BGG ). Die Beschwerdeführer als Arrestschuldner sind zur Anfechtung des Entscheides, mit welchem der Arrestvollzug bestätigt wurde, legitimiert ( Art. 76 Abs. 1 lit. b BGG ). Die fristgerecht erhobene Beschwerde ( Art. 100 Abs. 2 lit. a BGG ) ist grundsätzlich zulässig.</w:t>
      </w:r>
    </w:p>
    <w:p>
      <w:r>
        <w:rPr>
          <w:b/>
        </w:rPr>
        <w:t>E. 1.2</w:t>
      </w:r>
    </w:p>
    <w:p>
      <w:r>
        <w:t>Der Vollzug des Arrestes durch das Betreibungsamt ( Art. 275 SchKG ) stellt einen materiellen Akt der Zwangsvollstreckung dar, welcher als solcher nicht vorläufig und daher keine vorsorgliche Massnahme im Sinne von Art. 98 BGG ist (Urteil 5A_360/2010 E. 1.2, nicht publ. in BGE 136 III 379 ; Urteil 5A_515/2009 E. 1.2, nicht publ. in BGE 135 III 663 ; je mit Hinw.). Die Beschwerdegründe sind daher - anders als bei Beschwerden gegen den Arrestbefehl ( BGE 133 III 589 E. 1 S. 590) - nicht beschränkt und es kann u.a. die Verletzung von Bundesrecht gerügt werden ( Art. 95 lit. a BGG ).</w:t>
      </w:r>
    </w:p>
    <w:p>
      <w:r>
        <w:rPr>
          <w:b/>
        </w:rPr>
        <w:t>E. 1.3</w:t>
      </w:r>
    </w:p>
    <w:p>
      <w:r>
        <w:t>In der Beschwerdebegründung ist in gedrängter Form darzulegen, inwiefern der angefochtene Akt Recht verletzt ( Art. 42 Abs. 2 BGG ).</w:t>
      </w:r>
    </w:p>
    <w:p>
      <w:r>
        <w:rPr>
          <w:b/>
        </w:rPr>
        <w:t>E. 2</w:t>
      </w:r>
    </w:p>
    <w:p>
      <w:r>
        <w:t>Die obere Aufsichtsbehörde hat zunächst die Überprüfungsbefugnis (im Verhältnis zur Arresteinsprache) erläutert und keinen Anhaltspunkt erblickt, um Nichtigkeit des Arrestvollzuges anzunehmen. Sie hat weiter festgehalten, dass den verarrestierten Gegenständen keine Kompetenzqualität zukomme. Unter den Gegenständen, welchen von den Beschwerdeführern mit "zu geringem Wert" bezeichnet worden seien, befänden sich neben üblichen Gegenständen von geringerem Wert auch zahlreiche Gegenstände mit Schätzungswerten von mehreren hundert und tausend Franken (wie Sofa, Schrank, Truhe, Flachbildfernseher etc.). Sodann sei mit Bezug auf die Verwertungskosten zu berücksichtigen, dass möglicherweise eine Verwertung an Ort und Stelle stattfinden könne; zudem gehe es im konkreten Fall um eine Verwertungssumme von einigen tausend Franken, die den mutmasslichen Verwertungskosten gegenüberstehe. Da die Gegenstände grundsätzlich verwert- und pfändbar seien, sei der Arrestbeschlag nicht zu beanstanden. Der Antrag der Beschwerdeführer auf "unverzügliche Wiederherstellung der Wohnung" bedeute sinngemäss die Aufhebung des Arrestbeschlages, wofür kein Anspruch bestehe; im Übrigen seien die Beschwerdeführer auf den Weg der Arresthaftungsklage ( Art. 273 SchKG ) oder Staatshaftungsklage ( Art. 5 SchKG ) verwiesen.</w:t>
      </w:r>
    </w:p>
    <w:p>
      <w:r>
        <w:rPr>
          <w:b/>
        </w:rPr>
        <w:t>E. 3</w:t>
      </w:r>
    </w:p>
    <w:p>
      <w:r>
        <w:t>Anlass zur vorliegenden Beschwerde gibt die Verarrestierung von in der Wohnung der Beschwerdeführer befindlichen Gegenständen. Nach Art. 275 SchKG gelten die Bestimmungen über die Pfändung sinngemäss für den Arrestvollzug. Es ist unbestritten, dass es sich bei den verarrestierten Vermögenswerten (wie Kleider, Effekten, Hausgeräte und Möbel) um Gegenstände handelt, die dem persönlichen Gebrauch der Beschwerdeführer dienen. Sie behaupten selber jedoch nicht, dass die betreffenden Gegenstände unentbehrlich seien. Es ist unbestritten, dass die vom Betreibungsamt verarrestierten Gegenstände nicht unter die Kategorie von Art. 92 Abs. 1 Ziff. 1 SchKG fallen. Streitpunkt ist im Wesentlichen, ob es sich um Gegenstände ohne genügenden Gantwert handelt und diese nach Art. 92 Abs. 2 SchKG unpfändbar sind.</w:t>
      </w:r>
    </w:p>
    <w:p>
      <w:r>
        <w:rPr>
          <w:b/>
        </w:rPr>
        <w:t>E. 3.1</w:t>
      </w:r>
    </w:p>
    <w:p>
      <w:r>
        <w:t>Gemäss Art. 92 Abs. 2 SchKG darf das Betreibungsamt Gegenstände, bei denen von vornherein anzunehmen ist, dass der Überschuss des Verwertungserlöses über die Kosten so gering wäre, dass sich eine Wegnahme nicht rechtfertigt, nicht pfänden. Die Verletzung der Pflicht zur Schätzung der zu pfändenden Gegenstände ist mit Beschwerde ebenso anfechtbar wie die Verletzung der Pflicht zu prüfen, ob nicht Gegenstände ohne genügenden Gantwert (Verwertungswert) vorliegen ( BGE 82 III 19 E. 1 S. 22; GILLIÉRON, Commentaire de la loi fédérale sur la poursuite pour dettes et la faillite, Bd. II, 2000, N. 209 zu Art. 92). Ob ein an sich entbehrlicher Gegenstand von der Pfändung auszunehmen ist, weil sich nach Auffassung des Betreibungsamtes dessen Verwertung nicht oder kaum lohnt, ist eine Frage der Angemessenheit (GILLIÉRON, a.a.O.; VONDER MÜHLL, in: Basler Kommentar zum Bundesgesetz über Schuldbetreibung und Konkurs, 2. Aufl. 2010, N. 45 zu Art. 92). Ein Rechtsverstoss liegt vor, wenn das Betreibungsamt bzw. die Aufsichtsbehörde das (in Art. 92 Abs. 2 SchKG gewährte) Ermessen missbraucht ober überschritten hat ( BGE 134 III 323 E. 2 S. 324).</w:t>
      </w:r>
    </w:p>
    <w:p>
      <w:r>
        <w:rPr>
          <w:b/>
        </w:rPr>
        <w:t>E. 3.2</w:t>
      </w:r>
    </w:p>
    <w:p>
      <w:r>
        <w:t>Die Beschwerdeführer ordnen die Anzahl der Arrestgegenstände verschiedenen Kategorien von Schätzwerten zu. Sie ziehen daraus den Schluss, "dass der Wert der Gegenstände, welche die Verwertungskosten nicht übersteigen werden, den Grossteil der Gegenstände ausmachen". Dieses Vorbringen geht fehl. Aus der blossen Anzahl von Gegenständen mit einem bestimmten Schätzwert können die Beschwerdeführer nichts über die mutmasslichen Verwertungskosten ableiten und keine Verletzung von Art. 92 Abs. 2 SchKG dartun.</w:t>
      </w:r>
    </w:p>
    <w:p>
      <w:r>
        <w:rPr>
          <w:b/>
        </w:rPr>
        <w:t>E. 3.3</w:t>
      </w:r>
    </w:p>
    <w:p>
      <w:r>
        <w:t>Weiter machen die Beschwerdeführer geltend, es seien bestimmte Gegenstände verarrestiert worden, die "kaum verwertbar" seien. Sie weisen dabei u.a. auf Pos. 87 (1 Zigarre Havanna, Schätzwert Fr. 10.--) und Pos. 323 (1 lange Unterhose aus Kaschmir weiss, Schätzwert Fr. 25.--) hin. Die von ihnen genannten Gegenstände sind jedoch ihrer Natur nach nicht unveräusserlich (dazu VONDER MÜHLL, a.a.O., N. 8 zu Art. 92 mit Hinweisen) und deshalb der Zwangsvollstreckung nicht entzogen. Die Beschwerdeführer legen nicht dar ( Art. 42 Abs. 2 BGG ), inwiefern die Auffassung der Vorinstanz, wonach sämtliche Arrestgegenstände ihrer Natur nach verwertbar sind, unrichtig sein soll. Soweit sie für die genannten Gegenstände ein positives Nettoverwertungsergebnis in Frage stellen, übergehen sie, dass das Betreibungsamt bei der - in seinem weiten Ermessen stehenden - Beurteilung der Verwertungskosten auch den lokalen Markt, insbesondere betreffend gebrauchte Güter, sowie seine Erfahrung mit den betreffenden Gegenständen in anderen Betreibungen berücksichtigen darf (GILLIÉRON, a.a.O., N. 211 zu Art. 92). Im Übrigen lässt sich den Steigerungspublikationen der Betreibungsämter entnehmen, dass die Verwertung auch von z.B. Kleidungsstücken und Kleingegenständen möglich ist und offenbar lohnend durchgeführt werden kann. Insgesamt ist nicht ersichtlich, dass die Vorinstanz die Regeln über den Arrestvollzug bzw. das dem Betreibungsamt zustehende Ermessen verletzt habe, wenn sie die Beschwerde abgewiesen hat.</w:t>
      </w:r>
    </w:p>
    <w:p>
      <w:r>
        <w:rPr>
          <w:b/>
        </w:rPr>
        <w:t>E. 3.4</w:t>
      </w:r>
    </w:p>
    <w:p>
      <w:r>
        <w:t>Den Antrag auf "Instandstellung der Wohnung" begründen die Beschwerdeführer damit, dass nach der Verarrestierung der Einrichtungsgegenstände eine Vermietung der Wohnung nicht mehr möglich sei; mit dem Arrestbeschlag "werde die wirtschaftliche Nutzung ausgeschlossen". Im Arrestbefehl würden indessen ausdrücklich die allfälligen Mieterträge verarrestiert. Das Betreibungsamt hat unbestrittenermassen wie befohlen Mieterträge und verschiedene, in der Wohnung befindliche Gegenstände verarrestiert. Soweit die Beschwerdeführer sinngemäss geltend machen, es hätten nur die Mieterträge, nicht aber die Gegenstände in der Wohnung verarrestiert werden sollen, gehen sie fehl. Ihre Kritik läuft darauf hinaus, dass der Arrestbeschlag die Vermietung verhindere. Die Vorinstanz hat hierzu festgehalten, dass für einen allfälligen Arrestschaden die Gläubigerin nach Art. 273 SchKG haftet. Darauf gehen die Beschwerdeführer nicht ein ( Art. 42 Abs. 2 BGG ). Soweit sie festhalten, das "Betreibungsamt übe Druck aus", wenden sie sich im Wesentlichen gegen den - von der Gläubigerin erwirkten - Arrestbefehl. Hiergegen können sie (wie offenbar geschehen) Einsprache nach Art. 278 SchKG erheben, was jedoch nicht Gegenstand des vorliegenden Verfahrens ist.</w:t>
      </w:r>
    </w:p>
    <w:p>
      <w:r>
        <w:rPr>
          <w:b/>
        </w:rPr>
        <w:t>E. 4</w:t>
      </w:r>
    </w:p>
    <w:p>
      <w:r>
        <w:t>Der Beschwerde in Zivilsachen ist kein Erfolg beschieden. Bei diesem Verfahrensausgang werden die Beschwerdeführer kostenpflichtig ( Art. 66 Abs. 1 und 5 BGG ). Eine Parteientschädigung ist nicht zu leisten, da der Beschwerdegegnerin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