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330/2008 vom 10. Oktober 2008</w:t>
      </w:r>
    </w:p>
    <w:p>
      <w:r>
        <w:t>Bundesgericht, 2008-10-10, FR</w:t>
      </w:r>
    </w:p>
    <w:p>
      <w:r>
        <w:rPr>
          <w:b/>
        </w:rPr>
        <w:t xml:space="preserve">Quelle: </w:t>
      </w:r>
      <w:r>
        <w:t>https://mcp.opencaselaw.ch/entscheid/bger_5A_330_2008</w:t>
      </w:r>
    </w:p>
    <w:p>
      <w:r>
        <w:t>FR: TF 5A 330/2008 du 10 octobre 2008</w:t>
      </w:r>
    </w:p>
    <w:p>
      <w:r>
        <w:t>IT: TF 5A 330/2008 del 10 ottobre 2008</w:t>
      </w:r>
    </w:p>
    <w:p>
      <w:pPr>
        <w:pStyle w:val="Heading2"/>
      </w:pPr>
      <w:r>
        <w:t>Regeste</w:t>
      </w:r>
    </w:p>
    <w:p>
      <w:r>
        <w:t>saisie de salaire | Droit des poursuites et faillites</w:t>
      </w:r>
    </w:p>
    <w:p>
      <w:pPr>
        <w:pStyle w:val="Heading2"/>
      </w:pPr>
      <w:r>
        <w:t>Erwägungen</w:t>
      </w:r>
    </w:p>
    <w:p>
      <w:r>
        <w:rPr>
          <w:b/>
        </w:rPr>
        <w:t>E. 1</w:t>
      </w:r>
    </w:p>
    <w:p>
      <w:r>
        <w:t>Les époux recourants font l'objet de poursuites séparées et les autorités cantonales de surveillance ont statué sur leurs plaintes et recours par des décisions individuelles et distinctes. Le recours au Tribunal fédéral ne vise toutefois formellement que la décision concernant le débiteur. Celui-ci a naturellement qualité pour recourir au sens de l' art. 76 al. 1 LTF . Si la débitrice n'a en principe pas d'intérêt à recourir dans la poursuite dirigée contre son conjoint ( ATF 119 III 100 consid. 2b), elle peut en revanche prétendre, ce qu'elle fait en l'espèce, que la saisie de revenu porte atteinte au minimum vital de la famille ( ATF 116 III 75 consid. 1a). Force est dès lors de lui reconnaître aussi la qualité pour recourir. Interjeté dans le délai ( art. 100 al. 2 let. a LTF ) et la forme ( art. 42 LTF ) prévus par la loi contre une décision finale ( art. 90 LTF ) rendue en matière de poursuite pour dettes et de faillite ( art. 72 al. 2 let. a LTF ) par une autorité cantonale de dernière instance ( art. 75 al. 1 LTF ), le recours est donc recevable, et ce indépendamment de la valeur litigieuse ( art. 74 al. 2 let . c LTF).</w:t>
      </w:r>
    </w:p>
    <w:p>
      <w:r>
        <w:rPr>
          <w:b/>
        </w:rPr>
        <w:t>E. 2</w:t>
      </w:r>
    </w:p>
    <w:p>
      <w:r>
        <w:t>Le Tribunal fédéral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 En l'espèce, les recourants se contentent d'énumérer des droits fondamentaux (droit à l'égalité des chances, à l'éducation, à la formation, au choix d'une formation, au respect de la dignité humaine), garantis tant par le droit fédéral que par le droit cantonal, et d'affirmer que ces droits ont été violés, sans indiquer en quoi précisément ils l'auraient été. Tel qu'il est invoqué, le grief de violation de droits fondamentaux et du droit cantonal est donc irrecevable.</w:t>
      </w:r>
    </w:p>
    <w:p>
      <w:r>
        <w:rPr>
          <w:b/>
        </w:rPr>
        <w:t>E. 3</w:t>
      </w:r>
    </w:p>
    <w:p>
      <w:r>
        <w:t>A vrai dire, le grief essentiel des recourants consiste à reprocher à la cour cantonale d'avoir, à l'instar de l'office et de l'autorité inférieure de surveillance, fondé sa décision sur un arrêt du Tribunal fédéral qu'ils jugent « ancien et dépassé » et ne correspondant plus à la réalité d'aujourd'hui ( ATF 98 III 34 consid. 2). La jurisprudence instaurée par cet arrêt considère que les dépenses occasionnées par les études supérieures des enfants majeurs ne sont pas absolument nécessaires au débiteur et à sa famille, et donc indispensables au sens de l' art. 93 al. 1 LP . Il en ressort en effet que, même si aujourd'hui on reconnaît aux enfants un droit à être entretenus et éduqués après leur majorité s'ils suivent des études supérieures, ce droit est cependant limité par les conditions économiques et les ressources des parents. L'obligation d'entretien imposée à ceux-ci par l' 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(cf. arrêt 7B.200/1999 du 26 novembre 1999 consid. 2a, publié in FamPra.ch 2000 p. 550, et les références). Même si elle « date de plus de 35 ans », la jurisprudence en question a été confirmée depuis à plusieurs reprises et s'avère toujours d'actualité (cf. arrêt 5C.150/2005 du 11 octobre 2005 consid. 4.2.2, publié in FamPra.ch 2006 p. 480 et les références citées). Au demeurant, son fondement n'est pas remis en cause, ni même critiqué par la doctrine actuelle (cf. Georges Vonder Mühll, Kommentar zum Bundesgesetz über Schuldbetreibung und Konkurs, n. 24 ad art. 93 LP ; Amonn/Walther, Grundriss des Schuldbetreibungs- und Konkursrechts, 8e éd., Berne 2008, § 23 n. 64; P.-R. Gilliéron, Commentaire de la loi fédérale sur la poursuite pour dettes et la faillite, n. 85 ad art. 93 LP ; Jean-Claude Mathey, La saisie de salaire et de revenu, thèse Lausanne 1989, p. 64 ch. 118; Michel Ochsner, Commentaire romand de la LP, n. 105 s. ad art. 93 LP ). Aussi n'y a-t-il aucune raison de s'en écarter, comme le demandent les recourants. Le refus de l'office de tenir compte, dans le calcul du minimum vital des recourants, de l'entretien de leur fils majeur aux études étant conforme à la jurisprudence constante, consacrée d'ailleurs dans les Lignes directrices de la Conférence des préposés aux poursuites et faillites de Suisse du 24 novembre 2000 (BlSchK 2001 p. 19, ch. II/6), la décision attaquée ne peut qu'être confirmée et le recours rejeté dans la mesure de sa recevabilité.</w:t>
      </w:r>
    </w:p>
    <w:p>
      <w:r>
        <w:rPr>
          <w:b/>
        </w:rPr>
        <w:t>E. 4</w:t>
      </w:r>
    </w:p>
    <w:p>
      <w:r>
        <w:t>L'échec prévisible des conclusions des recourants commande le rejet de leur requête d'assistance judiciaire ( art. 64 al. 1 LTF ) et la mise des frais judiciaires à leur charge ( art. 66 al. 1 et 5 LTF ). Il n'y a pas lieu d'allouer des dépens à l'office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