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5A_32/2016 vom 5. Februar 2016</w:t>
      </w:r>
    </w:p>
    <w:p>
      <w:r>
        <w:t>Bundesgericht, 2016-02-05, FR</w:t>
      </w:r>
    </w:p>
    <w:p>
      <w:r>
        <w:rPr>
          <w:b/>
        </w:rPr>
        <w:t xml:space="preserve">Quelle: </w:t>
      </w:r>
      <w:r>
        <w:t>https://mcp.opencaselaw.ch/entscheid/bger_5A_32_2016</w:t>
      </w:r>
    </w:p>
    <w:p>
      <w:r>
        <w:t>FR: TF 5A_32/2016 du 5 février 2016</w:t>
      </w:r>
    </w:p>
    <w:p>
      <w:r>
        <w:t>IT: TF 5A_32/2016 del 5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5A_32/2016</w:t>
      </w:r>
    </w:p>
    <w:p>
      <w:r>
        <w:t>Ordonnance du 5 février 2016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Hildbrand.</w:t>
      </w:r>
    </w:p>
    <w:p>
      <w:r>
        <w:t>Participants à la procédure</w:t>
      </w:r>
    </w:p>
    <w:p>
      <w:r>
        <w:t>A.________ SA,</w:t>
      </w:r>
    </w:p>
    <w:p>
      <w:r>
        <w:t>représentée par Me Gaëtan Coutaz, avocat,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Christian Favre, avocat,</w:t>
      </w:r>
    </w:p>
    <w:p>
      <w:r>
        <w:t>intimé,</w:t>
      </w:r>
    </w:p>
    <w:p>
      <w:r>
        <w:t>Office des poursuites et faillites du district de Lavaux-Oron, avenue C.-F. Ramuz 73a, 1009 Pully.</w:t>
      </w:r>
    </w:p>
    <w:p>
      <w:r>
        <w:t>Objet</w:t>
      </w:r>
    </w:p>
    <w:p>
      <w:r>
        <w:t>validité des poursuites,</w:t>
      </w:r>
    </w:p>
    <w:p>
      <w:r>
        <w:t>recours contre l'arrêt de la Cour des poursuites et faillites du Tribunal cantonal vaudois, en qualité d'autorité supérieure de surveillance, du 2 décembre 2015.</w:t>
      </w:r>
    </w:p>
    <w:p>
      <w:r>
        <w:t>Vu :</w:t>
      </w:r>
    </w:p>
    <w:p>
      <w:r>
        <w:t>le recours en matière civile interjeté le 18 janvier 2016 par A.________ SA contre l'arrêt rendu le 2 décembre 2015 par la Cour des poursuites et faillites du Tribunal cantonal du canton de Vaud dans la cause qui oppose la recourante à B.________;</w:t>
      </w:r>
    </w:p>
    <w:p>
      <w:r>
        <w:t>le courrier du 2 février 2016 par lequel la recourante déclare retirer son recours;</w:t>
      </w:r>
    </w:p>
    <w:p>
      <w:r>
        <w:t>considérant :</w:t>
      </w:r>
    </w:p>
    <w:p>
      <w:r>
        <w:t>qu'il convient de prendre acte du retrait du recours et de rayer la cause du rôle ( art. 73 PCF par renvoi de l' art. 71 LTF );</w:t>
      </w:r>
    </w:p>
    <w:p>
      <w:r>
        <w:t>qu'il appartient en principe à la partie qui retire le recours de supporter les frais de l'instance fédérale;</w:t>
      </w:r>
    </w:p>
    <w:p>
      <w:r>
        <w:t>que, par conséquent, les frais judiciaires incombent à la recourante ( art. 66 al. 1 LTF );</w:t>
      </w:r>
    </w:p>
    <w:p>
      <w:r>
        <w:t>que, vu le stade de la procédure auquel le retrait est intervenu, il y a lieu de fixer des frais réduits ( art. 66 al.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présente ordonnance est communiquée aux parties, à l'Office des poursuites et faillites du district de Lavaux-Oron et à la Cour des poursuites et faillites du Tribunal cantonal vaudois, en qualité d'autorité supérieure de surveillance.</w:t>
      </w:r>
    </w:p>
    <w:p>
      <w:r>
        <w:t>Lausanne, le 5 février 2016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Hildbrand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