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5A_326/2022 vom 27. Mai 2022</w:t>
      </w:r>
    </w:p>
    <w:p>
      <w:r>
        <w:t>Bundesgericht, 2022-05-27, DE</w:t>
      </w:r>
    </w:p>
    <w:p>
      <w:r>
        <w:rPr>
          <w:b/>
        </w:rPr>
        <w:t xml:space="preserve">Quelle: </w:t>
      </w:r>
      <w:r>
        <w:t>https://mcp.opencaselaw.ch/entscheid/bger_5A_326_2022</w:t>
      </w:r>
    </w:p>
    <w:p>
      <w:r>
        <w:t>FR: TF 5A_326/2022 du 27 mai 2022</w:t>
      </w:r>
    </w:p>
    <w:p>
      <w:r>
        <w:t>IT: TF 5A_326/2022 del 27 maggio 2022</w:t>
      </w:r>
    </w:p>
    <w:p>
      <w:pPr>
        <w:pStyle w:val="Heading2"/>
      </w:pPr>
      <w:r>
        <w:t>Erwägungen</w:t>
      </w:r>
    </w:p>
    <w:p>
      <w:r>
        <w:rPr>
          <w:b/>
        </w:rPr>
        <w:t>E. 1</w:t>
      </w:r>
    </w:p>
    <w:p>
      <w:r>
        <w:t>Mit Entscheid vom 28. Januar 2022 sprach das Bezirksgericht Arbon gegenüber den Parteien je gegenseitige, bis zum 31. Juli 2023 befristete, Kontakt-, Annäherungs- und Rayonverbote aus, verbunden mit der Strafandrohung von Art. 292 StGB . Auf die Genugtuungsforderung des Beschwerdeführers trat das Bezirksgericht nicht ein.</w:t>
      </w:r>
    </w:p>
    <w:p>
      <w:r>
        <w:t>Dagegen erhob der Beschwerdeführer am 7. Februar 2022 (Poststempel) Berufung. Mit Entscheid vom 6. April 2022 erklärte das Obergericht des Kantons Thurgau die Berufung für unbegründet, soweit es auf sie eintrat, und es bestätigte den angefochtenen Entscheid. Das Nichteintreten erfolgte aufgrund mangelnder Begründung der Berufung.</w:t>
      </w:r>
    </w:p>
    <w:p>
      <w:r>
        <w:t>Dagegen hat der Beschwerdeführer am 5. Mai 2022 (Postaufgabe) Beschwerde an das Obergericht erhoben. Das Obergericht hat die Eingabe zuständigkeitshalber dem Bundesgericht übermittelt ( Art. 48 Abs. 3 BGG ).</w:t>
      </w:r>
    </w:p>
    <w:p>
      <w:r>
        <w:rPr>
          <w:b/>
        </w:rPr>
        <w:t>E. 2</w:t>
      </w:r>
    </w:p>
    <w:p>
      <w:r>
        <w:t>Rechtsschriften haben die Begehren und eine Begründung zu enthalten ( Art. 42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stellt in seiner Beschwerde keine Anträge. Bereits deshalb erweist sich die Beschwerde als unzulässig. Im Übrigen macht der Beschwerdeführer geltend, er müsse als Laie die Beschwerde (recte: Berufung) bloss rudimentär begründen, was er getan habe. Das Obergericht habe nicht beachtet, dass er Laie sei, und nicht mit gutem Willen versucht, herauszulesen, was zu entscheiden sei. Damit stellt der Beschwerdeführer jedoch bloss in abstrakter Weise seine Sicht auf die Begründungsanforderungen an eine Berufung dar. Weder legt er dar, welche genauen Stellen seiner Berufungsschrift den (nach seiner Auffassung bloss rudimentären) Begründungsanforderungen genügt haben sollen, noch setzt er sich konkret mit den Erwägungen des Obergerichts auseinander, in denen es im Einzelnen dargelegt hat, welche Vorbringen den Begründungsanforderungen nicht genügen.</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