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5A_325/2025 vom 1. Mai 2025</w:t>
      </w:r>
    </w:p>
    <w:p>
      <w:r>
        <w:t>Bundesgericht, 2025-05-01, DE</w:t>
      </w:r>
    </w:p>
    <w:p>
      <w:r>
        <w:rPr>
          <w:b/>
        </w:rPr>
        <w:t xml:space="preserve">Quelle: </w:t>
      </w:r>
      <w:r>
        <w:t>https://mcp.opencaselaw.ch/entscheid/bger_5A_325_2025</w:t>
      </w:r>
    </w:p>
    <w:p>
      <w:r>
        <w:t>FR: TF 5A_325/2025 du 1 mai 2025</w:t>
      </w:r>
    </w:p>
    <w:p>
      <w:r>
        <w:t>IT: TF 5A_325/2025 del 1 maggio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 Die Beschwerdefrist ist eingehalten (Art. 100 Abs. 2 lit. a i.V.m. Art. 46 Abs. 1 lit. a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erwogen, die Beschwerdeführerin räume selbst ein, den Zahlungsbefehl spätestens am 21. Februar 2025 zur Kenntnis genommen zu haben. Die Rechtsvorschlagsfrist habe folglich am Montag, 3. März 2025 geendet. Die Beschwerdeführerin habe aber entgegen Art. 33 Abs. 4 SchKG die versäumte Handlung bei der zuständigen Behörde nicht nachgeholt, weshalb das Gesuch bereits aus diesem Grund abzuweisen sei. Bei diesem Ergebnis könne offen bleiben, ob die Beschwerdeführerin ohne Verschulden, d.h. durch ein nicht beeinflussbares Ereignis wie Unfall oder schwere plötzliche Krankheit objektiv ausser Stande gewesen sei, innert Frist selbst zu handeln oder eine Drittperson mit den entsprechenden Handlungen zu betrauen. Ohnehin lege sie aber für die behauptete Auslandsabwesenheit keine geeigneten Beweismittel vor und im Übrigen würden Auslandsreisen in der Regel nicht völlig überraschend angetreten, so dass die Betrauung eines Dritten mit der Interessenwahrung zumutbar gewesen wäre.</w:t>
      </w:r>
    </w:p>
    <w:p>
      <w:r>
        <w:rPr>
          <w:b/>
        </w:rPr>
        <w:t>E. 4</w:t>
      </w:r>
    </w:p>
    <w:p>
      <w:r>
        <w:t>Die Beschwerdeführerin setzt sich mit diesen Erwägungen nicht auseinander, sondern sie äussert sich aus eigener Sicht zum Sachverhalt, wobei sie sich diesbezüglich auf appellatorische und damit von vornherein ungenügende Ausführungen beschränkt (Schilderung der schwierigen Situation der Tochter, welche den Zahlungsbefehl in ihrer Tasche vergessen habe; Schilderung der eigenen gesundheitlichen Situation und derjenigen des Sohnes; Schilderung der Auslandsabwesenheit).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