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5A_325/2018 vom 2. Mai 2018</w:t>
      </w:r>
    </w:p>
    <w:p>
      <w:r>
        <w:t>Bundesgericht, 2018-05-02, IT</w:t>
      </w:r>
    </w:p>
    <w:p>
      <w:r>
        <w:rPr>
          <w:b/>
        </w:rPr>
        <w:t xml:space="preserve">Quelle: </w:t>
      </w:r>
      <w:r>
        <w:t>https://mcp.opencaselaw.ch/entscheid/bger_5A_325_2018</w:t>
      </w:r>
    </w:p>
    <w:p>
      <w:r>
        <w:t>FR: TF 5A_325/2018 du 2 mai 2018</w:t>
      </w:r>
    </w:p>
    <w:p>
      <w:r>
        <w:t>IT: TF 5A_325/2018 del 2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è figlia di A.________ e C.________, ora divorziati. L'autorità parentale è esercitata in modo congiunto dai genitori e la figlia è affidata alla madre.</w:t>
      </w:r>
    </w:p>
    <w:p>
      <w:r>
        <w:t>Dopo un periodo di collocamento di B.________ in istituto, in data 23 gennaio 2017 l'Autorità regionale di protezione 2 sede di Mendrisio ha ripristinato la custodia della madre e disposto la frequentazione in esternato della minore presso l'Istituto D.________ di X.________.</w:t>
      </w:r>
    </w:p>
    <w:p>
      <w:r>
        <w:t>In seguito al cambiamento di domicilio di B.________ da X.________ a Y.________, nel settembre 2017 l'Autorità regionale di protezione 1 sede di Chiasso ha ripreso il suo incarto. Nel novembre 2017 tale autorità ha disposto - invece dell'inserimento diurno presso l'Istituto D.________ - la frequentazione obbligatoria della minore al doposcuola della scuola elementare di Y.________ durante il periodo scolastico e la frequentazione obbligatoria del Centro E.________ a Y.________ il mercoledì pomeriggio e durante le vacanze scolastiche. Mediante reclamo 11 dicembre 2017 A.________ ha contestato l'ordine per la figlia di frequentare il Centro E.________. Con sentenza 15 marzo 2018 il Presidente della Camera di protezione del Tribunale d'appello del Cantone Ticino ha respinto tale reclamo, osservando come il bisogno di protezione di B.________ (per le sue difficoltà cognitive e scolastiche, la forte conflittualità tra i genitori e le difficoltà della madre nell'adeguata presa a carico della minore) non sia nel frattempo mutato e ritenendo pertanto che l'Autorità regionale di protezione 1 sede di Chiasso abbia a giusta ragione mantenuto delle modalità di collocamento in esternato analoghe a quelle previste presso l'Istituto D.________.</w:t>
      </w:r>
    </w:p>
    <w:p>
      <w:r>
        <w:rPr>
          <w:b/>
        </w:rPr>
        <w:t>E. 2</w:t>
      </w:r>
    </w:p>
    <w:p>
      <w:r>
        <w:t>Con scritto 16 aprile 2018 A.________ ha impugnato la sentenza 15 marzo 2018 dinanzi al Tribunale federale.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ed i motivi ( art. 42 cpv. 1 LTF ). Nei motivi il ricorrente deve spiegare, confrontandosi con i considerandi della sentenza impugnata ( DTF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134 II 244 consid. 2.2).</w:t>
      </w:r>
    </w:p>
    <w:p>
      <w:r>
        <w:t>Il gravame all'esame manifestamente non soddisfa tali esigenze di motivazione. La ricorrente si limita infatti a ribadire che la frequentazione al doposcuola della scuola elementare di Y.________ e l'attivazione della rete di sostegno sarebbero sufficienti per il bene della minore, ma omette del tutto di confrontarsi con il ragionamento sviluppato nell'impugnata sentenza.</w:t>
      </w:r>
    </w:p>
    <w:p>
      <w:r>
        <w:t>La richiesta di permettere allo zio e ai cugini di vedere B.________ durante le vacanze scolastiche risulta inoltre inammissibile già per il fatto che è presentata per la prima volta dinanzi al Tribunale federale (v. art. 99 cpv. 2 LTF ).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 art. 108 cpv. 1 lett. a e b LTF .</w:t>
      </w:r>
    </w:p>
    <w:p>
      <w:r>
        <w:t>Nel caso concreto si può rinunciare al prelievo di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