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5A_325/2007 vom 11. Dezember 2007</w:t>
      </w:r>
    </w:p>
    <w:p>
      <w:r>
        <w:t>Bundesgericht, 2007-12-11, DE</w:t>
      </w:r>
    </w:p>
    <w:p>
      <w:r>
        <w:rPr>
          <w:b/>
        </w:rPr>
        <w:t xml:space="preserve">Quelle: </w:t>
      </w:r>
      <w:r>
        <w:t>https://mcp.opencaselaw.ch/entscheid/bger_5A_325_2007</w:t>
      </w:r>
    </w:p>
    <w:p>
      <w:r>
        <w:t>FR: TF 5A_325/2007 du 11 décembre 2007</w:t>
      </w:r>
    </w:p>
    <w:p>
      <w:r>
        <w:t>IT: TF 5A_325/2007 del 11 dicembre 2007</w:t>
      </w:r>
    </w:p>
    <w:p>
      <w:pPr>
        <w:pStyle w:val="Heading2"/>
      </w:pPr>
      <w:r>
        <w:t>Erwägungen</w:t>
      </w:r>
    </w:p>
    <w:p>
      <w:r>
        <w:rPr>
          <w:b/>
        </w:rPr>
        <w:t>E. 1.1</w:t>
      </w:r>
    </w:p>
    <w:p>
      <w:r>
        <w:t>Der angefochtene Entscheid ist nach Inkrafttreten des Bundesgesetzes über das Bundesgericht vom 17. Juni 2005 (BGG; SR 173.110) ergangen, weshalb das neue Recht anzuwenden ist ( Art. 132 Abs. 1 BGG ).</w:t>
      </w:r>
    </w:p>
    <w:p>
      <w:r>
        <w:rPr>
          <w:b/>
        </w:rPr>
        <w:t>E. 1.2</w:t>
      </w:r>
    </w:p>
    <w:p>
      <w:r>
        <w:t>Entscheide in Schuldbetreibungs- und Konkurssachen unterliegen der Beschwerde in Zivilsachen, welche in diesem Bereich an die Stelle der Beschwerde in Betreibungssachen tritt ( Art. 72 Abs. 2 lit. a BGG in Verbindung mit Art. 19 SchKG ). Die Beschwerde ist zulässig gegen Entscheide letzter kantonaler Instanzen ( Art. 75 Abs. 1 BGG ). Beschwerdeentscheide der kantonalen Aufsichtsbehörden über Verfügungen der Vollstreckungsorgane gemäss Art. 17 SchKG sind Endentscheide im Sinn von Art. 90 BGG ( BGE 133 III 350 E. 1.2). Sie sind unabhängig von einer gesetzlichen Streitwertgrenze anfechtbar ( Art. 74 Abs. 2 lit. c BGG ). Die Beschwerdeführerin konnte am kantonalen Verfahren nicht teilnehmen und hat zumindest als Gläubigerin ein rechtlich geschütztes Interesse an der Aufhebung des angefochtenen Entscheides ( Art. 72 Abs. 1 BGG ). Auf die fristgerecht erhobene Beschwerde ist demnach einzutreten ( Art. 100 Abs. 2 lit. a BGG ). Mit ihr kann insbesondere die Verletzung von Bundesrecht, Völkerrecht und kantonaler verfassungsmässiger Rechte geltend gemacht werden ( Art. 95 BGG ). Die Feststellung des Sachverhaltes kann nur gerügt werden, wenn sie offensichtlich unrichtig, d.h. willkürlich ist ( Art. 9 BV ; BGE 133 II 249 E. 1.2.2) oder auf einer anderen Rechtsverletzung im Sinn von Art. 95 BGG beruht (vgl. BGE 133 II 249 E. 1.4.3 S. 255) und die Behebung des Mangels für den Ausgang des Verfahrens entscheidend sein kann ( Art. 97 Abs. 1 BGG ).</w:t>
      </w:r>
    </w:p>
    <w:p>
      <w:r>
        <w:rPr>
          <w:b/>
        </w:rPr>
        <w:t>E. 1.3</w:t>
      </w:r>
    </w:p>
    <w:p>
      <w:r>
        <w:t>Die Aufsichtsbehörde hat nach einem erfolglosen Einigungsversuch das Betreibungsamt am 20. September 2006 angewiesen, die einfache Gesellschaft aufzulösen, das Gemeinschaftsvermögen festzustellen sowie den Erlös aus dem gepfändeten Liquidationsanteil an die Pfändungsgläubiger zu verteilen. Eine dagegen erhobene Beschwerde hat das Bundesgericht am 6. Februar 2007 abgewiesen. Im Anschluss daran stellte das Betreibungsamt fest, dass mit Entscheid der Aufsichtsbehörde vom 20. September 2006 die einfache Gesellschaft gekündigt worden sei und gestützt auf Art. 546 OR sechs Monate später aufgelöst werde. Diese Verfügung berichtigte es kurz darauf, indem es die Kündigung der einfachen Gesellschaft auf das bundesgerichtliche Urteilsdatum ansetzte, womit die Auflösung der einfachen Gesellschaft per 6. August 2007 erfolgen werde. Die kantonale Aufsichtsbehörde kam demgegenüber auf Beschwerde eines Gläubigers zum Schluss, dass die Auflösung der einfachen Gesellschaft keiner förmlichen Kündigung bedürfe, und wies daher das Betreibungsamt an, das Gemeinschaftsvermögen festzustellen und zu verwerten.</w:t>
      </w:r>
    </w:p>
    <w:p>
      <w:r>
        <w:rPr>
          <w:b/>
        </w:rPr>
        <w:t>E. 1.4</w:t>
      </w:r>
    </w:p>
    <w:p>
      <w:r>
        <w:t>Die Beschwerdeführerin sieht durch den angefochtenen Entscheid Bundesrecht verletzt. Ihrer Ansicht nach lässt sich die Vorgehensweise der Vorinstanz mit Sinn und Wortlaut von Art. 545 Abs. 1 Ziff. 3 OR und Art. 12 VVAG nicht vereinbaren. Sie begründet ihren Standpunkt mit dem blossen Hinweis auf BGE 52 III 6 ff. sowie den Kommentator (Staehelin, Basler Kommentar, 2. Aufl. 2002, N. 14 zu Art. 545/546 OR).</w:t>
      </w:r>
    </w:p>
    <w:p>
      <w:r>
        <w:rPr>
          <w:b/>
        </w:rPr>
        <w:t>E. 1.5</w:t>
      </w:r>
    </w:p>
    <w:p>
      <w:r>
        <w:t>Die Aufsichtsbehörde entscheidet, ob das gepfändete Anteilsrecht versteigert wird oder ob die Auflösung der Gemeinschaft samt Verwertung ihres Vermögens vorzunehmen ist ( Art. 10 Abs. 2 VVAG ). Sie legt damit die Art der vom Betreibungsamt vorzunehmenden Verwertung verbindlich fest. Hält sie im konkreten Fall die Auflösung der Gemeinschaft für angebracht, so ordnet sie diese an. Es liegt ein Anwendungsfall von Art. 545 Abs. 1 Ziff. 3 OR vor (Raymond L. Bisang, Die Zwangsverwertung von Anteilen an Gesamthandschaften, Diss. Zürich, 1978, S. 185/186). Durch den Auflösungsentscheid der Aufsichtsbehörde tritt die Gemeinschaft ins Stadium der Liquidation, womit kein Platz für eine förmliche Kündigung mehr bleibt. Das Betreibungsamt hat lediglich die erforderlichen rechtlichen Vorkehren für die Verwertung zu treffen und übt dabei alle dem betriebenen Schuldner zustehenden Rechte aus ( Art. 12 VVAG ).</w:t>
      </w:r>
    </w:p>
    <w:p>
      <w:r>
        <w:rPr>
          <w:b/>
        </w:rPr>
        <w:t>E. 1.6</w:t>
      </w:r>
    </w:p>
    <w:p>
      <w:r>
        <w:t>Zwar hielt das Bundesgericht in seinem Entscheid vom 2. Februar 1926 eine den gesetzlichen Anforderungen entsprechende Kündigung des Gesellschaftsvertrages gegenüber allen Mitgliedern für notwendig ( BGE 52 III 4 ff.). Diese Auffassung wird von einem Teil der Lehre weiterhin vertreten (Staehelin, a.a.O., N. 14 zu Art. 545/546 OR; Rutz, Kommentar zum Bundesgesetz über Schuldbetreibung und Konkurs, N. 35 zu Art. 132 SchKG ; dieselbe, in: BlSchK 1975, S. 137). Die bundesgerichtliche Rechtsprechung ist aber auch wiederholt kritisiert worden. Dabei wurde zu Recht darauf hingewiesen, dass die Auflösung der einfachen Gesellschaft nach Art. 545 Abs. 1 Ziff. 3 OR eintritt, wenn der Anteil eines Mitgliedes zur Zwangsverwertung gelangt (Gilliéron, Commentaire de la loi fédérale sur la poursuite pour dettes et la faillite, N. 39 zu Art. 132 SchKG ; Bisang, a.a.O., S. 185). Hinzu kommt die in Art. 10 und 13 VVAG festgelegte Aufgabenteilung zwischen Aufsichtsbehörde und Betreibungsamt. Aufgrund ihrer Kompetenz, über die Verwertungsart des gepfändeten Anteils zu entscheiden, kann die Aufsichtsbehörde die Gemeinschaft auflösen und das Betreibungsamt die Liquidation des Vermögens vornehmen lassen. Nimmt die Aufsichtsbehörde ihre Kompetenz wahr, so bedarf es keiner zusätzlichen Kündigung mehr. Insoweit ist die bisherige Rechtsprechung zu präzisieren.</w:t>
      </w:r>
    </w:p>
    <w:p>
      <w:r>
        <w:rPr>
          <w:b/>
        </w:rPr>
        <w:t>E. 2</w:t>
      </w:r>
    </w:p>
    <w:p>
      <w:r>
        <w:t>Damit kann der Vorinstanz im Ergebnis keine Verletzung von Bundesrecht vorgeworfen werden und der Beschwerde ist kein Erfolg beschieden. Ausgangsgemäss hat die Beschwerdeführerin die Verfahrenskosten zu tragen ( Art. 66 Abs. 1 BGG ). Dem Beschwerdegegner sind keine massgeblichen Aufwendungen entstanden, welche eine Parteientschädigung rechtfertigen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