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5A_324/2025 vom 1. Mai 2025</w:t>
      </w:r>
    </w:p>
    <w:p>
      <w:r>
        <w:t>Bundesgericht, 2025-05-01, DE</w:t>
      </w:r>
    </w:p>
    <w:p>
      <w:r>
        <w:rPr>
          <w:b/>
        </w:rPr>
        <w:t xml:space="preserve">Quelle: </w:t>
      </w:r>
      <w:r>
        <w:t>https://mcp.opencaselaw.ch/entscheid/bger_5A_324_2025</w:t>
      </w:r>
    </w:p>
    <w:p>
      <w:r>
        <w:t>FR: TF 5A_324/2025 du 1 mai 2025</w:t>
      </w:r>
    </w:p>
    <w:p>
      <w:r>
        <w:t>IT: TF 5A_324/2025 del 1 maggio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Beschwerdeführer machen eine willkürliche Sachverhaltsfeststellung und eine Verletzung des rechtlichen Gehörs dahingehend geltend, dass im angefochtenen Entscheid lediglich die Aberkennungsklage von A.________, nicht aber diejenige von B.________ erwähnt sei, weshalb der Verfahrensstand offen und der Rechtsweg nicht ausgeschlossen sei, was das Obergericht klar übersehen und ignoriert habe.</w:t>
      </w:r>
    </w:p>
    <w:p>
      <w:r>
        <w:t>Die Beschwerdeführer übersehen, dass der Entscheid des Obergerichtes vom 17. Januar 2023 betreffend die Aberkennungsklage von B.________ im angefochtenen Entscheid erwähnt ist (vgl. S. 3 Fn. 2), weshalb ihre Verfassungsrügen von vornherein ins Leere stossen und darauf nicht näher einzugehen ist.</w:t>
      </w:r>
    </w:p>
    <w:p>
      <w:r>
        <w:t>Entsprechend geht auch die weitere Rüge an der Sache vorbei, das Verwertungsbegehren stütze sich auf eine verfälschte Rechtskraftbescheinigung, weil die Aberkennungsklage noch hängig gewesen sei.</w:t>
      </w:r>
    </w:p>
    <w:p>
      <w:r>
        <w:rPr>
          <w:b/>
        </w:rPr>
        <w:t>E. 4</w:t>
      </w:r>
    </w:p>
    <w:p>
      <w:r>
        <w:t>Unsubstanziiert bleibt sodann die Gehörsrüge, der angefochtene Entscheid setze sich mit den wesentlichen Beschwerdepunkten nicht auseinander, wird doch mit ausführlichen Erwägungen festgehalten, dass die Beschwerdeführer nicht stets von neuem die Fehlerhaftigkeit früherer Betreibungsakte behaupten können.</w:t>
      </w:r>
    </w:p>
    <w:p>
      <w:r>
        <w:t>Soweit die Beschwerdeführer schliesslich die "doppelte Betreibung je auf den vollen Hypothekarbetrag" beanstanden, setzen sie sich nicht mit den - in allen Teilen zutreffenden und unter Verweis auf die einschlägigen Normen und Literaturstellen erfolgenden - Erwägungen im angefochtenen Entscheid auseinander, wonach sie Miteigentümer des als pfandbelasteten Grundstücks waren und sie sich solidarisch für die Hypothekarforderung verpflichtet hatten, weshalb sie je auf den ganzen Betrag betrieben werden konnten.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