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5A_324/2020 vom 6. Mai 2020</w:t>
      </w:r>
    </w:p>
    <w:p>
      <w:r>
        <w:t>Bundesgericht, 2020-05-06, DE</w:t>
      </w:r>
    </w:p>
    <w:p>
      <w:r>
        <w:rPr>
          <w:b/>
        </w:rPr>
        <w:t xml:space="preserve">Quelle: </w:t>
      </w:r>
      <w:r>
        <w:t>https://mcp.opencaselaw.ch/entscheid/bger_5A_324_2020</w:t>
      </w:r>
    </w:p>
    <w:p>
      <w:r>
        <w:t>FR: TF 5A_324/2020 du 6 mai 2020</w:t>
      </w:r>
    </w:p>
    <w:p>
      <w:r>
        <w:t>IT: TF 5A_324/2020 del 6 maggio 2020</w:t>
      </w:r>
    </w:p>
    <w:p>
      <w:pPr>
        <w:pStyle w:val="Heading2"/>
      </w:pPr>
      <w:r>
        <w:t>Erwägungen</w:t>
      </w:r>
    </w:p>
    <w:p>
      <w:r>
        <w:rPr>
          <w:b/>
        </w:rPr>
        <w:t>E. 1</w:t>
      </w:r>
    </w:p>
    <w:p>
      <w:r>
        <w:t>Gegen den angefochtenen Entscheid steht die Beschwerde in Zivilsachen zur Verfügung ( Art. 72 Abs. 2 lit. a, Art. 74 Abs. 2 lit. c, Art. 75 und Art. 90 BGG ).</w:t>
      </w:r>
    </w:p>
    <w:p>
      <w:r>
        <w:rPr>
          <w:b/>
        </w:rPr>
        <w:t>E. 2</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t>Die Beschwerdebegründung besteht darin, dass es unhöflich und unverschämt sei, eine Betreibung ohne vorangehende Mahnung einzuleiten; die Behörden sollten sich bemühen, vor der Einleitung rechtlicher Schritte einen Ausgleich mit dem Schuldner zu finden. Damit ist keine Nichtigkeit des Zahlungsbefehles darzutun bzw. nicht aufgezeigt, inwiefern der angefochtene Entscheid Recht verletzen soll.</w:t>
      </w:r>
    </w:p>
    <w:p>
      <w:r>
        <w:rPr>
          <w:b/>
        </w:rPr>
        <w:t>E. 3</w:t>
      </w:r>
    </w:p>
    <w:p>
      <w:r>
        <w:t>Die Beschwerde erweist sich als offensichtlich nicht hinreichend begründet und es ist auf sie im vereinfachten Verfahren nach Art. 108 Abs. 1 lit. b BGG nicht einzutreten.</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