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5A_324/2015 vom 21. August 2015</w:t>
      </w:r>
    </w:p>
    <w:p>
      <w:r>
        <w:t>Bundesgericht, 2015-08-21, FR</w:t>
      </w:r>
    </w:p>
    <w:p>
      <w:r>
        <w:rPr>
          <w:b/>
        </w:rPr>
        <w:t xml:space="preserve">Quelle: </w:t>
      </w:r>
      <w:r>
        <w:t>https://mcp.opencaselaw.ch/entscheid/bger_5A_324_2015</w:t>
      </w:r>
    </w:p>
    <w:p>
      <w:r>
        <w:t>FR: TF 5A_324/2015 du 21 août 2015</w:t>
      </w:r>
    </w:p>
    <w:p>
      <w:r>
        <w:t>IT: TF 5A_324/2015 del 21 agosto 2015</w:t>
      </w:r>
    </w:p>
    <w:p>
      <w:pPr>
        <w:pStyle w:val="Heading2"/>
      </w:pPr>
      <w:r>
        <w:t>Erwägungen</w:t>
      </w:r>
    </w:p>
    <w:p>
      <w:r>
        <w:rPr>
          <w:b/>
        </w:rPr>
        <w:t>E. 1</w:t>
      </w:r>
    </w:p>
    <w:p>
      <w:r>
        <w:t>Interjeté dans le délai prévu par la loi ( art. 100 al. 2 let. a LTF ) par un recourant qui a pris part à la procédure devant l'autorité précédente ( art. 76 al. 1 let. a LTF ) et dirigé contre une décision finale ( art. 90 LTF ) rendue en matière de poursuite pour dettes et de faillite ( art. 72 al. 2 let. a LTF ) par une autorité cantonale de surveillance de dernière (unique) instance ( art. 75 al. 1 LTF ), le recours est recevable au regard de ces dispositions, et ce indépendamment de la valeur litigieuse ( art. 74 al. 2 let . c LTF).</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 art. 99 al. 1 LTF prévoit qu'aucun fait nouveau, ni preuve nouvelle ne peut être présenté, à moins de résulter de la décision de l'autorité précédente.</w:t>
      </w:r>
    </w:p>
    <w:p>
      <w:r>
        <w:t>A contrario , en vertu du principe de l'application du droit d'office ( art. 106 al. 1 LTF ;</w:t>
      </w:r>
    </w:p>
    <w:p>
      <w:r>
        <w:t>supra consid. 2.1.), le recourant peut requérir du Tribunal fédéral d'examiner des nouveaux moyens de droit matériel, pour autant qu'il se base soit sur des faits établis devant l'autorité précédente ( art. 105 al. 1 LTF ), soit sur une rectification ou un complément autorisés des faits ( art. 105 al. 2 LTF ; ATF 136 V 362 consid. 4.1; 134 III 643 consid. 5.3.2; arrêt 2C_1196/2013 du 21 février 2014 consid. 1.7; 1C_113/2013 du 4 octobre 2013 consid. 2; 4A_188/2007 du 13 septembre 2007 consid. 4.3.5; 4A_223/2007 du 30 août 2007 consid. 3.2</w:t>
      </w:r>
    </w:p>
    <w:p>
      <w:r>
        <w:t>in fine ; 4A_28/2007 du 30 mai 2007 consid. 1.3, non publié</w:t>
      </w:r>
    </w:p>
    <w:p>
      <w:r>
        <w:t>in</w:t>
      </w:r>
    </w:p>
    <w:p>
      <w:r>
        <w:t>ATF 133 III 421 ). En revanche, en vertu des principes de la bonne foi et de l'épuisement des griefs, les nouveaux moyens de droit constitutionnel - notamment l'arbitraire dans l'établissement des faits -, dont l'invocation est soumise au principe d'allégation (cf. art. 106 al. 2 LTF ), sont exclus ( ATF 133 III 639 consid. 2; arrêt 2C_1196/2013 du 21 février 2014 consid. 1.7 et les références).</w:t>
      </w:r>
    </w:p>
    <w:p>
      <w:r>
        <w:rPr>
          <w:b/>
        </w:rPr>
        <w:t>E. 3</w:t>
      </w:r>
    </w:p>
    <w:p>
      <w:r>
        <w:t>Le recourant invoque la violation de l' art. 17 LP en tant que l'autorité de surveillance a implicitement admis la qualité de plaignant à l'intimé.</w:t>
      </w:r>
    </w:p>
    <w:p>
      <w:r>
        <w:rPr>
          <w:b/>
        </w:rPr>
        <w:t>E. 3.1.1</w:t>
      </w:r>
    </w:p>
    <w:p>
      <w:r>
        <w:t>Le recourant considère que les juges précédents sont à tort entrés en matière sur la demande de révision de l'intimé, vu son absence de qualité pour agir. Pour pouvoir porter plainte et demander la révision de la décision obtenue sur plainte, l'intimé devait en effet être directement lésé par la décision de cession litigieuse, ce qui, à teneur de la jurisprudence du Tribunal fédéral ( ATF 139 III 384 ), ne pouvait être le cas dès lors qu'il agissait en qualité de tiers débiteur. En effet, à la date du dépôt de la plainte, l'intimé savait, pour avoir été informé du dépôt du tableau de distribution, qu'il allait être entièrement désintéressé, en sorte que sa plainte ne pouvait qu'avoir pour objectif d'éviter une procédure en cours à son encontre. Dans ces conditions, il convenait de retenir qu'il n'était pas directement lésé par la cession accordée par l'administration de la faillite et qu'il n'avait jamais eu qualité pour porter plainte. En admettant implicitement le contraire, l'autorité précédente avait violé le droit fédéral.</w:t>
      </w:r>
    </w:p>
    <w:p>
      <w:r>
        <w:rPr>
          <w:b/>
        </w:rPr>
        <w:t>E. 3.1.2</w:t>
      </w:r>
    </w:p>
    <w:p>
      <w:r>
        <w:t>L'intimé oppose à cette argumentation que le recourant remet pour la première fois devant l'instance fédérale en cause sa qualité pour porter plainte, de sorte que ce grief ne doit pas être examiné. Il ajoute que, dans tous les cas, il était créancier de la masse et donc légitimé à porter plainte et que, même à supposer qu'il n'eût agi qu'en qualité de tiers débiteur, il avait un intérêt économique à faire annuler la décision de cession, invalide</w:t>
      </w:r>
    </w:p>
    <w:p>
      <w:r>
        <w:t>ab initio .</w:t>
      </w:r>
    </w:p>
    <w:p>
      <w:r>
        <w:rPr>
          <w:b/>
        </w:rPr>
        <w:t>E. 3.2</w:t>
      </w:r>
    </w:p>
    <w:p>
      <w:r>
        <w:t>L'argument juridique du défaut de qualité pour agir est nouvellement soulevé par le recourant, pour motiver l'irrecevabilité de la demande de révision à laquelle il avait déjà conclu devant l'autorité de surveillance. Un tel moyen ne saurait être prohibé par l' art. 99 LTF , dès lors qu'il n'implique pas un complètement de l'administration des preuves et de l'état de fait (cf.</w:t>
      </w:r>
    </w:p>
    <w:p>
      <w:r>
        <w:t>supra consid. 2.2).</w:t>
      </w:r>
    </w:p>
    <w:p>
      <w:r>
        <w:rPr>
          <w:b/>
        </w:rPr>
        <w:t>E. 3.3.1</w:t>
      </w:r>
    </w:p>
    <w:p>
      <w:r>
        <w:t>La procédure de plainte est régie par l' art. 20a LP et, à Genève, par la loi d'application de la loi fédérale sur la poursuite pour dettes et la faillite (LaLP; RS/GE E 3 60), laquelle renvoie, à son art. 9 al. 4, à la loi sur la procédure administrative (LPA; RS/GE E 5 10).</w:t>
      </w:r>
    </w:p>
    <w:p>
      <w:r>
        <w:t>La révision est régie par les art. 80 à 83 LPA/GE. Selon l' art. 83 al. 2 LPA /GE - dont la teneur est similaire à l' art. 128 al. 1 LTF -, si la juridiction considère la demande de révision comme fondée, elle annule la décision attaquée et en prend une nouvelle. Dans cette hypothèse, la juridiction rend successivement deux décisions distinctes, même si elle le fait en règle générale dans une seule décision. Par la première, dénommée le rescindant, elle annule l'arrêt formant l'objet de la demande de révision; par la seconde, appelée le rescisoire, elle statue sur le recours dont elle avait été précédemment saisie. La décision d'annulation met fin à la procédure de révision proprement dite et entraîne la réouverture de la procédure antérieure. Elle sortit un effet</w:t>
      </w:r>
    </w:p>
    <w:p>
      <w:r>
        <w:t>ex tunc si bien que la juridiction et les parties sont replacées dans la situation où ils se trouvaient au moment où la décision annulée avait été rendue, la cause devant être tranchée comme si cette décision n'avait jamais existé (arrêt 2F_11/2008 du 6 juillet 2009 consid. 4.1).</w:t>
      </w:r>
    </w:p>
    <w:p>
      <w:r>
        <w:rPr>
          <w:b/>
        </w:rPr>
        <w:t>E. 3.3.2</w:t>
      </w:r>
    </w:p>
    <w:p>
      <w:r>
        <w:t>En l'occurrence, ayant accueilli la demande de révision et annulé la décision attaquée, la Chambre de surveillance devait reprendre l'analyse du dossier et, partant, examiner d'office la qualité pour plainte de l'intimé, ce qu'elle a implicitement fait puisqu'elle est entrée en matière et a tranché le fond.</w:t>
      </w:r>
    </w:p>
    <w:p>
      <w:r>
        <w:rPr>
          <w:b/>
        </w:rPr>
        <w:t>E. 3.4.1</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Ainsi,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 ATF 139 III 384 consid. 2.1 et les références).</w:t>
      </w:r>
    </w:p>
    <w:p>
      <w:r>
        <w:t>Lorsque la masse cède une prétention contre un tiers qui est en même temps créancier, celui-ci a qualité pour porter plainte, en faisant valoir que la cession n'a pas eu lieu conformément aux dispositions légales et réglementaires. La double qualité de créancier et débiteur du failli n'a pas de conséquence sur son droit d'exiger que l'administration de la faillite se fasse de manière conforme à la loi ( ATF 119 III 81 consid. 2; cf. aussi: BERTI,</w:t>
      </w:r>
    </w:p>
    <w:p>
      <w:r>
        <w:t>in Basler Kommentar, SchKG II, 2</w:t>
      </w:r>
    </w:p>
    <w:p>
      <w:r>
        <w:t>ème éd., 2010, n° 29 ad art. 260 LP ; COMETTA/MÖCKLI,</w:t>
      </w:r>
    </w:p>
    <w:p>
      <w:r>
        <w:t>in Basler Kommentar, SchKG I, 2</w:t>
      </w:r>
    </w:p>
    <w:p>
      <w:r>
        <w:t>ème éd., 2010, n° 43 ad art. 17 LP ; DIETH, Beschwerde gemäss Art. 17 ff. SchKG,</w:t>
      </w:r>
    </w:p>
    <w:p>
      <w:r>
        <w:t>in PJA 2002 p. 363 [368]; TSCHUMY, Quelques réflexions à propos de la cession des droits de la masse de l' art. 260 LP ,</w:t>
      </w:r>
    </w:p>
    <w:p>
      <w:r>
        <w:t>in JdT 1999 II p. 34 [41]).</w:t>
      </w:r>
    </w:p>
    <w:p>
      <w:r>
        <w:rPr>
          <w:b/>
        </w:rPr>
        <w:t>E. 3.4.2</w:t>
      </w:r>
    </w:p>
    <w:p>
      <w:r>
        <w:t>En l'espèce, l'intimé étant créancier de la faillie, c'est à bon droit que l'autorité cantonale a admis sa qualité pour agir.</w:t>
      </w:r>
    </w:p>
    <w:p>
      <w:r>
        <w:t>Le grief de la violation de l' art. 17 LP doit être rejeté.</w:t>
      </w:r>
    </w:p>
    <w:p>
      <w:r>
        <w:rPr>
          <w:b/>
        </w:rPr>
        <w:t>E. 4</w:t>
      </w:r>
    </w:p>
    <w:p>
      <w:r>
        <w:t>Le recourant se plaint de la violation de l' art. 260 LP en tant que l'autorité de surveillance a considéré qu'il était dénué de tout intérêt à conserver la cession des droits de la masse au motif qu'il avait d'ores et déjà été désintéressé.</w:t>
      </w:r>
    </w:p>
    <w:p>
      <w:r>
        <w:rPr>
          <w:b/>
        </w:rPr>
        <w:t>E. 4.1.1</w:t>
      </w:r>
    </w:p>
    <w:p>
      <w:r>
        <w:t>L'autorité cantonale a jugé que, au vu du tableau de distribution, le recourant et les autres créanciers de la masse avaient perdu tout intérêt à l'issue du procès, de sorte que la cession devait être révoquée et qu'elle était compétente pour prononcer cette révocation.</w:t>
      </w:r>
    </w:p>
    <w:p>
      <w:r>
        <w:rPr>
          <w:b/>
        </w:rPr>
        <w:t>E. 4.1.2</w:t>
      </w:r>
    </w:p>
    <w:p>
      <w:r>
        <w:t>Le recourant soutient n'avoir pas perdu tout intérêt personnel à l'issue de la procédure en revendication pendante à l'encontre de l'intimé " puisqu'il avait à tout le moins engagé des frais de procès conséquents depuis 2010 ". " En avortant à ce stade " l'action en revendication introduite en 2010, " laquelle dispose de bonne chance de succès ", il serait " condamné à ne jamais obtenir la couverture de ses frais de procès conséquents lesquels ont été uniquement engagés pour augmenter le produit de la masse en faillite ".</w:t>
      </w:r>
    </w:p>
    <w:p>
      <w:r>
        <w:rPr>
          <w:b/>
        </w:rPr>
        <w:t>E. 4.1.3</w:t>
      </w:r>
    </w:p>
    <w:p>
      <w:r>
        <w:t>L'intimé soutient qu'aucune prétention admise au passif ne restant à découvert, la cession est nulle car elle a porté sur des droits dont la masse ne disposait pas et que le recourant vise seulement à faire valoir ses droits d'actionnaire. Il souligne également que le recourant savait, au moment où il a introduit son action, que le produit de la masse ne pouvait être augmenté.</w:t>
      </w:r>
    </w:p>
    <w:p>
      <w:r>
        <w:rPr>
          <w:b/>
        </w:rPr>
        <w:t>E. 4.2</w:t>
      </w:r>
    </w:p>
    <w:p>
      <w:r>
        <w:t>La question qui se pose est de savoir si, lorsqu'il résulte du tableau de distribution que la masse passive sera entièrement désintéressée, la cession des droits de la masse intervenue précédemment doit être révoquée.</w:t>
      </w:r>
    </w:p>
    <w:p>
      <w:r>
        <w:rPr>
          <w:b/>
        </w:rPr>
        <w:t>E. 4.2.1</w:t>
      </w:r>
    </w:p>
    <w:p>
      <w:r>
        <w:t>Aux termes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(al. 3).</w:t>
      </w:r>
    </w:p>
    <w:p>
      <w:r>
        <w:rPr>
          <w:b/>
        </w:rPr>
        <w:t>E. 4.2.1.1</w:t>
      </w:r>
    </w:p>
    <w:p>
      <w:r>
        <w:t>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 ATF 115 III 68 consid. 3). Le créancier cessionnaire doit remettre celui-ci à l'office des faillites, même s'il est constaté après la clôture de la faillite ( ATF 127 III 526 consid. 3; 122 III 341 consid. 2).</w:t>
      </w:r>
    </w:p>
    <w:p>
      <w:r>
        <w:rPr>
          <w:b/>
        </w:rPr>
        <w:t>E. 4.2.1.2</w:t>
      </w:r>
    </w:p>
    <w:p>
      <w:r>
        <w:t>Le créancier a le droit d'exiger la cession si les conditions en sont remplies. Il faut donc, objectivement, que l'inventaire ait été dressé et l'état de collocation déposé ( ATF 102 III 78 consid. 3b), que les créanciers aient renoncé à faire valoir la créance dont la cession a été offerte, et que la faillite n'ait pas été révoquée ou suspendue; subjectivement, il faut que le requérant ait qualité pour devenir cessionnaire, c'est-à-dire, qu'il soit créancier colloqué, et qu'il requière la cession ( ATF 113 III 135 consid. 3b; 109 III 27 consid. 1a; cf. aussi not. Berti,</w:t>
      </w:r>
    </w:p>
    <w:p>
      <w:r>
        <w:t>op. cit. , n° 20 ss ad art. 260 LP ; Tschumy,</w:t>
      </w:r>
    </w:p>
    <w:p>
      <w:r>
        <w:t>op. cit. , p. 38 s.).</w:t>
      </w:r>
    </w:p>
    <w:p>
      <w:r>
        <w:t>Le désintéressement du créancier cessionnaire n'influence que la distribution des deniers, et pas la cession elle-même. Dans un tel cas, le créancier cessionnaire doit remettre à la masse l'entier du gain du procès, déduction faite de la couverture de ses frais de procès. Au demeurant, même intégralement désintéressé, il conserve un intérêt propre au résultat du procès dans la mesure où il peut en affecter le produit à la couverture des frais du procès; ces frais ne sont pas un élément constituant de sa créance contre le failli et ne sont pas couverts par la distribution ( ATF 113 III 20 consid. 3; plus nuancé: ATF 115 III 68 consid. 3</w:t>
      </w:r>
    </w:p>
    <w:p>
      <w:r>
        <w:t>in fine ).</w:t>
      </w:r>
    </w:p>
    <w:p>
      <w:r>
        <w:rPr>
          <w:b/>
        </w:rPr>
        <w:t>E. 4.2.2</w:t>
      </w:r>
    </w:p>
    <w:p>
      <w:r>
        <w:t>La masse passive est constituée de tous les créanciers qui ont produit dans la faillite. Leurs créances sont toutefois affectées par les effets de la faillite. Notamment, selon l' art. 209 al. 1 LP , celles qui ne sont pas garanties par gage cessent de générer des intérêts. Ces intérêts ne peuvent être réclamés en dehors ou après la procédure de faillite (Jaeger/Walder/Kull/Kottmann, Bundesgesetz über Schuldbetreibung und Konkurs, 4ème éd., Band II, Art. 159-292, 1997/99, n° 2 s. et 8 ad art. 209 LP ; Jeanneret,</w:t>
      </w:r>
    </w:p>
    <w:p>
      <w:r>
        <w:t>in Commentaire romand, Poursuite et faillite, 2005, n° 9 ad art. 209 LP ; Gilliéron, Commentaire de la loi fédérale sur la poursuite pour dettes et la faillite, art. 159-270, 2001, n° 12 ad art. 209 LP ).</w:t>
      </w:r>
    </w:p>
    <w:p>
      <w:r>
        <w:t>Néanmoins, si, après la réalisation des biens, un excédent d'actifs - soit un produit net ( art. 262 LP ) supérieur aux créances colloquées - existe concrètement, il sert alors à couvrir les créances d'intérêts courus entre le prononcé de la faillite et le paiement des créances colloquées. La raison en est qu'une liquidation se terminant avec un excédent d'actifs est l'exception et rend caduque la règle de l' art. 209 al. 1 LP ( ATF 129 III 559 consid. 3.3, en matière de concordat par abandon d'actif [ad art. 297 al. 3 aLP]; 102 III 40 consid. 3</w:t>
      </w:r>
    </w:p>
    <w:p>
      <w:r>
        <w:t>in initio et 3c; Jeanneret,</w:t>
      </w:r>
    </w:p>
    <w:p>
      <w:r>
        <w:t>op. cit. , n° 10 ad art. 209 LP ; Lorandi, Aktivenüberschuss in der Generalexekution - wenn der Glücksfall zum Problemfall wird,</w:t>
      </w:r>
    </w:p>
    <w:p>
      <w:r>
        <w:t>in BlSchK 2013 p. 217 [219]; Idem, Besonderheiten beim Aktivenüberschuss in der Generalexecution: Der Glücksfall als Problemfall,</w:t>
      </w:r>
    </w:p>
    <w:p>
      <w:r>
        <w:t>in PJA 2006 p. 1263 [1265 s.]). Dès lors, tant que les intérêts ne sont pas couverts, la réalisation se poursuit. La cession des droits de la masse, qui n'en est qu'un mode, n'a donc pas à être révoquée au motif que le tableau de distribution laisse apparaître que la masse passive, qui ne comprend pas les intérêts, est couverte par la masse active.</w:t>
      </w:r>
    </w:p>
    <w:p>
      <w:r>
        <w:rPr>
          <w:b/>
        </w:rPr>
        <w:t>E. 4.3</w:t>
      </w:r>
    </w:p>
    <w:p>
      <w:r>
        <w:t>En l'espèce, il est incontesté que les conditions objectives et subjectives de la cession des droits de la masse posées par la jurisprudence sont remplies. En outre, si la masse active paraît suffisante pour couvrir la masse passive, il n'est en revanche pas établi que le produit de la réalisation suffit en l'état à également couvrir les créances d'intérêts de la masse passive. Dès lors, tant la masse, en tout cas pour les créances d'intérêts, que le recourant, pour ses frais de procès, conservent un intérêt à l'exercice du droit cédé. Au vu de ce qui précède, l'argument selon lequel le recourant agirait de mauvaise foi est sans portée. Au demeurant, l'autorité de surveillance a refusé l'effet suspensif requis par l'intimé et le recourant a attendu cette décision incidente avant d'agir en revendication contre l'intimé. On ne saurait dès lors lui opposer un comportement abusif.</w:t>
      </w:r>
    </w:p>
    <w:p>
      <w:r>
        <w:t>En conclusion, la cession des droits de la masse au profit du recourant est conforme au droit. L'autorité de surveillance ne devait pas la révoquer. Le grief de la violation de l' art. 260 LP doit donc être admis.</w:t>
      </w:r>
    </w:p>
    <w:p>
      <w:r>
        <w:rPr>
          <w:b/>
        </w:rPr>
        <w:t>E. 5</w:t>
      </w:r>
    </w:p>
    <w:p>
      <w:r>
        <w:t>En définitive, le recours est admis. L'arrêt attaqué est réformé en ce sens que la plainte formée le 28 octobre 2010 par l'intimé est rejetée. Celui-ci, qui succombe, devra payer les frais de la procédure fédérale ( art. 66 al. 1 LTF ) et verser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