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5A_323/2018 vom 19. April 2018</w:t>
      </w:r>
    </w:p>
    <w:p>
      <w:r>
        <w:t>Bundesgericht, 2018-04-19, DE</w:t>
      </w:r>
    </w:p>
    <w:p>
      <w:r>
        <w:rPr>
          <w:b/>
        </w:rPr>
        <w:t xml:space="preserve">Quelle: </w:t>
      </w:r>
      <w:r>
        <w:t>https://mcp.opencaselaw.ch/entscheid/bger_5A_323_2018</w:t>
      </w:r>
    </w:p>
    <w:p>
      <w:r>
        <w:t>FR: TF 5A_323/2018 du 19 avril 2018</w:t>
      </w:r>
    </w:p>
    <w:p>
      <w:r>
        <w:t>IT: TF 5A_323/2018 del 19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Entscheid betreffend die Errichtung einer Beistandschaft nach Art. 308 Abs. 1 und 2 BGG ; die Beschwerde in Zivilsachen steht offen (Art. 72 Abs. 2 lit. b Ziff. 6, Art. 75 Abs. 1 und Art. 90 BGG ).</w:t>
      </w:r>
    </w:p>
    <w:p>
      <w:r>
        <w:rPr>
          <w:b/>
        </w:rPr>
        <w:t>E. 2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</w:t>
      </w:r>
    </w:p>
    <w:p>
      <w:r>
        <w:rPr>
          <w:b/>
        </w:rPr>
        <w:t>E. 3</w:t>
      </w:r>
    </w:p>
    <w:p>
      <w:r>
        <w:t>Die Beschwerde enthält kein eigentliches Rechtsbegehren und aus den Ausführungen, wonach D.________ wieder in die Regelschule gehen soll, wird nicht klar, ob überhaupt die Aufhebung der Beistandschaft im Vordergrund steht. Schon daran scheitert die Beschwerde.</w:t>
      </w:r>
    </w:p>
    <w:p>
      <w:r>
        <w:t>Sodann setzt sich die Beschwerdeführerin aber auch nicht mit den ausführlichen Erwägungen des 20-seitigen angefochtenen Entscheides auseinander, sondern beschränkt sich auf die Aussage, ihre Tochter sei in der Schule ein Mobbing-Opfer und dürfe nicht als Täterin behandelt werden und sei in einem schlechteren Zustand als vor den verfügten Massnahmen.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im vereinfachten Verfahren mit Präsidialurteil zu entscheiden ist ( Art. 108 Abs. 1 lit. b BGG ).</w:t>
      </w:r>
    </w:p>
    <w:p>
      <w:r>
        <w:rPr>
          <w:b/>
        </w:rPr>
        <w:t>E. 5</w:t>
      </w:r>
    </w:p>
    <w:p>
      <w:r>
        <w:t>Angesichts der konkreten Umstände wird ausnahmsweise auf die Erhebung von Gerichtskosten verzichtet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