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323/2017 vom 9. Mai 2017</w:t>
      </w:r>
    </w:p>
    <w:p>
      <w:r>
        <w:t>Bundesgericht, 2017-05-09, DE</w:t>
      </w:r>
    </w:p>
    <w:p>
      <w:r>
        <w:rPr>
          <w:b/>
        </w:rPr>
        <w:t xml:space="preserve">Quelle: </w:t>
      </w:r>
      <w:r>
        <w:t>https://mcp.opencaselaw.ch/entscheid/bger_5A_323_2017</w:t>
      </w:r>
    </w:p>
    <w:p>
      <w:r>
        <w:t>FR: TF 5A 323/2017 du 9 mai 2017</w:t>
      </w:r>
    </w:p>
    <w:p>
      <w:r>
        <w:t>IT: TF 5A 323/2017 del 9 maggio 2017</w:t>
      </w:r>
    </w:p>
    <w:p>
      <w:pPr>
        <w:pStyle w:val="Heading2"/>
      </w:pPr>
      <w:r>
        <w:t>Regeste</w:t>
      </w:r>
    </w:p>
    <w:p>
      <w:r>
        <w:t>Beistandschaft | Familienrecht</w:t>
      </w:r>
    </w:p>
    <w:p>
      <w:pPr>
        <w:pStyle w:val="Heading2"/>
      </w:pPr>
      <w:r>
        <w:t>Erwägungen</w:t>
      </w:r>
    </w:p>
    <w:p>
      <w:r>
        <w:rPr>
          <w:b/>
        </w:rPr>
        <w:t>E. 1</w:t>
      </w:r>
    </w:p>
    <w:p>
      <w:r>
        <w:t>Angefochten ist der kantonal letztinstanzliche Entscheid betreffend Errichtung einer Beistandschaft; dagegen steht die Beschwerde in Zivilsachen offen (Art. 72 Abs. 2 lit. b Ziff. 6, Art. 75 Abs. 1 und Art. 90 BGG ).</w:t>
      </w:r>
    </w:p>
    <w:p>
      <w:r>
        <w:rPr>
          <w:b/>
        </w:rPr>
        <w:t>E. 2</w:t>
      </w:r>
    </w:p>
    <w:p>
      <w:r>
        <w:t>Die Beschwerde hat ein Rechtsbegehren und eine Begründung zu enthalten ( Art. 42 Abs. 1 BGG ). Darin ist in gedrängter Form darzulegen, inwiefern der angefochtene Entscheid Recht verletzt ( Art. 42 Abs. 2 BGG ), was eine Auseinandersetzung mit der Begründung des angefochtenen Entscheides erfordert ( BGE 140 III 115 E. 2 S. 116).</w:t>
      </w:r>
    </w:p>
    <w:p>
      <w:r>
        <w:rPr>
          <w:b/>
        </w:rPr>
        <w:t>E. 3</w:t>
      </w:r>
    </w:p>
    <w:p>
      <w:r>
        <w:t>Die Beschwerde enthält einzig ein Begehren um Fristverlängerung, welchem jedoch insofern keine Folge gegeben werden kann, als die Beschwerdefrist als gesetzliche Frist nicht verlängerbar ist ( Art. 47 Abs. 1 BGG ). In der Sache selbst enthält die Beschwerde weder ein Rechtsbegehren noch eine Auseinandersetzung mit dem angefochtenen Entscheid. Im angefochtenen Entscheid, auf welchen verwiesen wird, ist der Schwächezustand und die Notwendigkeit der Verbeiständung ausführlich beschrieben.</w:t>
      </w:r>
    </w:p>
    <w:p>
      <w:r>
        <w:rPr>
          <w:b/>
        </w:rPr>
        <w:t>E. 4</w:t>
      </w:r>
    </w:p>
    <w:p>
      <w:r>
        <w:t>Nach dem Gesagten erweist sich die Beschwerde als offensichtlich unzureichend begründet, weshalb auf sie nicht eingetreten werden kann und das präsidierende Mitglied im vereinfachten Verfahren entscheidet ( Art. 108 Abs. 1 lit. b BGG ).</w:t>
      </w:r>
    </w:p>
    <w:p>
      <w:r>
        <w:rPr>
          <w:b/>
        </w:rPr>
        <w:t>E. 5</w:t>
      </w:r>
    </w:p>
    <w:p>
      <w:r>
        <w:t>Angesichts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