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5A_322/2025 vom 1. April 2026</w:t>
      </w:r>
    </w:p>
    <w:p>
      <w:r>
        <w:t>Bundesgericht, 2026-04-01, DE</w:t>
      </w:r>
    </w:p>
    <w:p>
      <w:r>
        <w:rPr>
          <w:b/>
        </w:rPr>
        <w:t xml:space="preserve">Quelle: </w:t>
      </w:r>
      <w:r>
        <w:t>https://mcp.opencaselaw.ch/entscheid/bger_5A_322_2025</w:t>
      </w:r>
    </w:p>
    <w:p>
      <w:r>
        <w:t>FR: TF 5A_322/2025 du 1 avril 2026</w:t>
      </w:r>
    </w:p>
    <w:p>
      <w:r>
        <w:t>IT: TF 5A_322/2025 del 1 aprile 2026</w:t>
      </w:r>
    </w:p>
    <w:p>
      <w:pPr>
        <w:pStyle w:val="Heading2"/>
      </w:pPr>
      <w:r>
        <w:t>Volltext</w:t>
      </w:r>
    </w:p>
    <w:p>
      <w:r>
        <w:t>Wichtiger Hinweis:</w:t>
      </w:r>
    </w:p>
    <w:p>
      <w:r>
        <w:t>Diese Website wird in älteren Versionen von Netscape ohne graphische Elemente dargestellt. Die Funktionalität der Website ist aber trotzdem gewährleistet. Wenn Sie diese Website regelmässig benutzen, empfehlen wir Ihnen, auf Ihrem Computer einen aktuellen Browser zu installieren.</w:t>
      </w:r>
    </w:p>
    <w:p>
      <w:r>
        <w:t>Zurück zur Einstiegsseite</w:t>
      </w:r>
    </w:p>
    <w:p>
      <w:r>
        <w:t>Drucken</w:t>
      </w:r>
    </w:p>
    <w:p>
      <w:r>
        <w:t>Grössere Schrift</w:t>
      </w:r>
    </w:p>
    <w:p>
      <w:r>
        <w:t>Converted Document</w:t>
      </w:r>
    </w:p>
    <w:p>
      <w:r>
        <w:t>Navigation</w:t>
      </w:r>
    </w:p>
    <w:p>
      <w:r>
        <w:t>Neue Suche</w:t>
      </w:r>
    </w:p>
    <w:p>
      <w:r>
        <w:t>ähnliche Leitentscheide suchen</w:t>
      </w:r>
    </w:p>
    <w:p>
      <w:r>
        <w:t>ähnliche Urteile ab 2000 suchen</w:t>
      </w:r>
    </w:p>
    <w:p>
      <w:r>
        <w:t>Drucken</w:t>
      </w:r>
    </w:p>
    <w:p>
      <w:r>
        <w:t>nach 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