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5A_321/2024 vom 3. Juni 2024</w:t>
      </w:r>
    </w:p>
    <w:p>
      <w:r>
        <w:t>Bundesgericht, 2024-06-03, DE</w:t>
      </w:r>
    </w:p>
    <w:p>
      <w:r>
        <w:rPr>
          <w:b/>
        </w:rPr>
        <w:t xml:space="preserve">Quelle: </w:t>
      </w:r>
      <w:r>
        <w:t>https://mcp.opencaselaw.ch/entscheid/bger_5A_321_2024</w:t>
      </w:r>
    </w:p>
    <w:p>
      <w:r>
        <w:t>FR: TF 5A_321/2024 du 3 juin 2024</w:t>
      </w:r>
    </w:p>
    <w:p>
      <w:r>
        <w:t>IT: TF 5A_321/2024 del 3 giugno 2024</w:t>
      </w:r>
    </w:p>
    <w:p>
      <w:pPr>
        <w:pStyle w:val="Heading2"/>
      </w:pPr>
      <w:r>
        <w:t>Erwägungen</w:t>
      </w:r>
    </w:p>
    <w:p>
      <w:r>
        <w:rPr>
          <w:b/>
        </w:rPr>
        <w:t>E. 1</w:t>
      </w:r>
    </w:p>
    <w:p>
      <w:r>
        <w:t>Das Obergericht hat festgehalten, dass der Umgang mit querulatorischen oder rechtsmissbräuchlichen Eingaben in Art. 132 Abs. 3 ZPO geregelt sei, welche in kindesschutzrechtlichen Verfahren gestützt auf Art. 450f ZGB i.V.m. § 40 Abs. 3 EG KESR/ZH zur Anwendung gelange. Daraus ergebe sich, dass querulatorische Eingaben entgegen der Ansicht des Beschwerdeführers keine Handlungspflichten auslösen würden. Im Übrigen sei die KESB aufgrund des noch vor dem Bezirksgericht Winterthur hängigen Abänderungsverfahrens bezüglich des Scheidungsurteils für die Kindesbelange gar nicht zuständig gewesen. Letztlich bestehe die Besonderheit des vorliegenden Falles darin, dass der Bezirksrat seinerzeit die Gefährdungsmeldung trotz der offensichtlichen Haltlosigkeit der KESB weitergeleitet habe, weil er sich der Unzuständigkeit der KESB zufolge Hängigkeit der Kindesbelange vor dem Bezirksgericht nicht bewusst gewesen sei.</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Soweit es im Übrigen um das anwendbare Prozessrecht geht, ist zu beachten, dass dieses im Bereich des Kindes- und Erwachsenenschutzes für das aufgrund des zuteilenden Vorbehaltes in Art. 450f ZGB weitestgehend kantonal geregelt ist und das Bundesgericht kantonales Recht nicht frei, sondern nur auf Willkür hin überprüfen kann ( BGE 140 III 385 E. 2.3), was substanziierte Willkürrügen voraussetzt ( Art. 106 Abs. 2 BGG ). Dies gilt selbst dann, wenn das kantonale Recht die Bestimmungen der ZPO für anwendbar erklärt, weil diese alsdann im Bereich des Kindes- und Erwachsenenschutzes als subsidiäres kantonales Recht zur Anwendung gelangen ( BGE 139 III 225 E. 2.3; 140 III 385 E. 2.3).</w:t>
      </w:r>
    </w:p>
    <w:p>
      <w:r>
        <w:rPr>
          <w:b/>
        </w:rPr>
        <w:t>E. 3</w:t>
      </w:r>
    </w:p>
    <w:p>
      <w:r>
        <w:t>Wie fast durchwegs in allen früheren Beschwerden setzt sich der Beschwerdeführer auch vorliegend nicht ansatzweise mit den Erwägungen des angefochtenen Beschlusses auseinander, sondern er äussert allgemeine Polemik gegen die KESB, die Zürcher Gerichte und gegen eine ganze Reihe von Bundesrichtern. Ferner stellt er über 20 Begehren, die eher Statements darstellen und im Übrigen nicht sachbezogen sind (er fordere Beweis, dass die Bundesrichter in seinem Fall entscheiden dürften; er fordere eine klare Antwort, ob das Bundesgericht seit ein paar Jahren zu einer Privatfirma mutiert sei und ob die Richter jetzt mit ihrem privaten Vermögen haften würden; die Beschwerde müsse von integren Menschen beurteilt werden; etc.).</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