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5A_321/2023 vom 3. Mai 2023</w:t>
      </w:r>
    </w:p>
    <w:p>
      <w:r>
        <w:t>Bundesgericht, 2023-05-03, DE</w:t>
      </w:r>
    </w:p>
    <w:p>
      <w:r>
        <w:rPr>
          <w:b/>
        </w:rPr>
        <w:t xml:space="preserve">Quelle: </w:t>
      </w:r>
      <w:r>
        <w:t>https://mcp.opencaselaw.ch/entscheid/bger_5A_321_2023</w:t>
      </w:r>
    </w:p>
    <w:p>
      <w:r>
        <w:t>FR: TF 5A_321/2023 du 3 mai 2023</w:t>
      </w:r>
    </w:p>
    <w:p>
      <w:r>
        <w:t>IT: TF 5A_321/2023 del 3 maggio 2023</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lässt ein Rechtsbegehren vermissen und sie enthält auch keine Ausführungen, welche in irgendeiner Weise auf die ausführlichen Erwägungen im angefochtenen Entscheid zum Fristenlauf Bezug nehmen würden. Vielmehr äussert sich der Beschwerdeführer weitschweifig zur Arbeitstätigkeit seines Vaters, zu seinem eigenen Leben, zu seinen Verletzungen in der Kindheit, zur erbrechtlichen Situation, zu den Hypotheken u.ä.m.</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r>
        <w:t>1.</w:t>
      </w:r>
    </w:p>
    <w:p>
      <w:r>
        <w:t>Auf die Beschwerde wird nicht eingetreten.</w:t>
      </w:r>
    </w:p>
    <w:p>
      <w:r>
        <w:t>2.</w:t>
      </w:r>
    </w:p>
    <w:p>
      <w:r>
        <w:t>Die Gerichtskosten von Fr. 1'000.-- werden dem Beschwerdeführer auferlegt.</w:t>
      </w:r>
    </w:p>
    <w:p>
      <w:r>
        <w:t>3.</w:t>
      </w:r>
    </w:p>
    <w:p>
      <w:r>
        <w:t>Dieses Urteil wird dem Beschwerdeführer, dem Betreibungsamt Baden und dem Obergericht des Kantons Aargau, Schuldbetreibungs- und Konkurskommission als obere betreibungsrechtliche Aufsichtsbehörde, mitgeteilt.</w:t>
      </w:r>
    </w:p>
    <w:p>
      <w:r>
        <w:t>Lausanne, 3. Mai 2023</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