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321/2014 vom 20. August 2014</w:t>
      </w:r>
    </w:p>
    <w:p>
      <w:r>
        <w:t>Bundesgericht, 2014-08-20, DE</w:t>
      </w:r>
    </w:p>
    <w:p>
      <w:r>
        <w:rPr>
          <w:b/>
        </w:rPr>
        <w:t xml:space="preserve">Quelle: </w:t>
      </w:r>
      <w:r>
        <w:t>https://mcp.opencaselaw.ch/entscheid/bger_5A_321_2014</w:t>
      </w:r>
    </w:p>
    <w:p>
      <w:r>
        <w:t>FR: TF 5A 321/2014 du 20 août 2014</w:t>
      </w:r>
    </w:p>
    <w:p>
      <w:r>
        <w:t>IT: TF 5A 321/2014 del 20 agosto 2014</w:t>
      </w:r>
    </w:p>
    <w:p>
      <w:pPr>
        <w:pStyle w:val="Heading2"/>
      </w:pPr>
      <w:r>
        <w:t>Regeste</w:t>
      </w:r>
    </w:p>
    <w:p>
      <w:r>
        <w:t>Kosten (Abänderung des Scheidungsurteils, vorsorgliche Massnahmen) | Familienrecht</w:t>
      </w:r>
    </w:p>
    <w:p>
      <w:pPr>
        <w:pStyle w:val="Heading2"/>
      </w:pPr>
      <w:r>
        <w:t>Erwägungen</w:t>
      </w:r>
    </w:p>
    <w:p>
      <w:r>
        <w:rPr>
          <w:b/>
        </w:rPr>
        <w:t>E. 1.1</w:t>
      </w:r>
    </w:p>
    <w:p>
      <w:r>
        <w:t>Angefochten ist ein kantonal letztinstanzlicher Rechtsmittelentscheid über den Erlass vorsorglicher Massnahmen im Rahmen einer Klage auf Abänderung eines Scheidungsurteils. Gegenstand des vorinstanzlichen Verfahrens waren im Wesentlichen die Belange des minderjährigen Kindes der Parteien, mithin eine nicht vermögensrechtliche Zivilsache ( Art. 72 Abs. 1 BGG ). Damit ist die vorliegende einzig gegen die Verteilung der Prozesskosten gerichtete Beschwerde in Zivilsachen grundsätzlich zulässig (BGE Art. 72 Abs. 1 BGG , BGE 137 III 47 E. 1.2.2 S. 48), ohne dass die Voraussetzungen einer Rechtsfrage von grundsätzlicher Bedeutung noch geprüft werden müssen. Die Verfassungsbeschwerde entfällt daher ( Art. 113 BGG ).</w:t>
      </w:r>
    </w:p>
    <w:p>
      <w:r>
        <w:rPr>
          <w:b/>
        </w:rPr>
        <w:t>E. 1.2</w:t>
      </w:r>
    </w:p>
    <w:p>
      <w:r>
        <w:t>Der angefochtene Entscheid ist im Rahmen vorsorglicher Massnahmen ergangen, womit einzig die Verletzung verfassungsmässiger Rechte geltend gemacht werden kann ( Art. 98 BGG ). Das Bundesgericht prüft indes nur konkret erhobene und klar begründete Rügen ( Art. 106 Abs. 2 BGG ; BGE 135 III 670 E. 1.5 S. 674).</w:t>
      </w:r>
    </w:p>
    <w:p>
      <w:r>
        <w:rPr>
          <w:b/>
        </w:rPr>
        <w:t>E. 2</w:t>
      </w:r>
    </w:p>
    <w:p>
      <w:r>
        <w:t>Anlass zur vorliegenden Beschwerde bilden die Prozesskosten des kantonalen Rechtsmittelverfahrens.</w:t>
      </w:r>
    </w:p>
    <w:p>
      <w:r>
        <w:rPr>
          <w:b/>
        </w:rPr>
        <w:t>E. 2.1</w:t>
      </w:r>
    </w:p>
    <w:p>
      <w:r>
        <w:t>Die Vorinstanz auferlegte die bei ihr angefallenen Gerichtskosten von Fr. 3'500.-- den Parteien je zur Hälfte. Sie wies darauf hin, dass diese zwar in der Regel nach Obsiegen und Unterliegen verteilt würden. Indes könne in familienrechtlichen Verfahren gestützt auf Art. 107 Abs. 1 lit. c ZPO vom Prozessausgang abgewichen werden. Nach der Praxis der urteilenden Kammer würden bei Kinderbelangen die Eltern hälftig belastet. In einem solchen Fall würden zudem keine Parteientschädigungen zugesprochen. Infolge Gewährung der unentgeltlichen Rechtspflege werde der Anteil der Beschwerdegegnerin einstweilen auf die Gerichtskasse genommen.</w:t>
      </w:r>
    </w:p>
    <w:p>
      <w:r>
        <w:rPr>
          <w:b/>
        </w:rPr>
        <w:t>E. 2.2</w:t>
      </w:r>
    </w:p>
    <w:p>
      <w:r>
        <w:t>Soweit der Beschwerdeführer vom Bundesgericht verlangt, dass der Beschwerdegegnerin vom Amtes wegen das Recht auf unentgeltliche Prozessführung entzogen werde, kann auf sein Begehren nicht eingetreten werden. Weder legt er in nachvollziehbarer Weise dar noch ist ersichtlich, inwiefern er hier in seinen schützenswerten Interessen ( Art. 76 Abs. 1 lit. b BGG ) betroffen sein könnte. Der Hinweis, durch die Gewährung der unentgeltlichen Rechtspflege werde die Beschwerdegegnerin geradezu ermutigt, zu seinem Nachteil zu prozessieren, beschlägt zudem die Voraussetzungen einer Rechtswohltat, welche ausschliesslich von der zuständigen Behörde zu prüfen sind ( Art. 117 ZPO ). In einem solchen Verfahren steht dem Beschwerdeführer keine Parteistellung ( Art. 119 Abs. 3 ZPO ) und kein Rechtsmittel zu ( Art. 121 ZPO ) zu, da ihm in der Regel kein schutzwürdiges Interesse zukommt, sich in das Verhältnis der Gegenpartei zum Staat einzumischen, das durch die Gewährung der unentgeltlichen Rechtspflege geschaffen wird. Die Beschwerdeberechtigung vor Bundesgericht kann nicht weiter gefasst werden als im vorangegangenen Verfahren (Urteil 5A_29/2013 vom 4. April 2013 E. 1.1). Die Ausführungen des Beschwerdeführers zur wirtschaftlichen Leistungsfähigkeit und damit zur fehlenden Prozessarmut der Beschwerdegegnerin bleiben infolgedessen unberücksichtigt.</w:t>
      </w:r>
    </w:p>
    <w:p>
      <w:r>
        <w:rPr>
          <w:b/>
        </w:rPr>
        <w:t>E. 2.3</w:t>
      </w:r>
    </w:p>
    <w:p>
      <w:r>
        <w:t>Der Beschwerdeführer wirft der Vorinstanz vor, ihren Entscheid hinsichtlich der Verlegung der Prozesskosten nur pauschal begründet zu haben und dabei ohne nähere Ausführungen von anerkannten Grundsätzen abgewichen zu sein. Zudem habe das Obergericht das ihm zustehende Ermessen willkürlich ausgeübt.</w:t>
      </w:r>
    </w:p>
    <w:p>
      <w:r>
        <w:rPr>
          <w:b/>
        </w:rPr>
        <w:t>E. 2.3.1</w:t>
      </w:r>
    </w:p>
    <w:p>
      <w:r>
        <w:t>Soweit diese Kritik als Verletzung des rechtlichen Gehörs ( Art. 29 Abs. 2 BV ) im Sinne der Begründungspflicht zu verstehen ist, erweist sie sich als unbegründet. Dem Beschwerdeführer war es durchaus möglich, von den entscheidwesentlichen Überlegungen der Vorinstanz Kenntnis zu nehmen und sich über die Tragweite des Entscheides Rechenschaft zu geben, um ihn in voller Kenntnis der Sache an das Bundesgericht weiterzuziehen ( BGE 134 I 83 E. 4.1 S. 88).</w:t>
      </w:r>
    </w:p>
    <w:p>
      <w:r>
        <w:rPr>
          <w:b/>
        </w:rPr>
        <w:t>E. 2.3.2</w:t>
      </w:r>
    </w:p>
    <w:p>
      <w:r>
        <w:t>Gemäss Art. 106 Abs. 1 ZPO werden die Prozesskosten der unterliegenden Partei auferlegt. Das Gericht kann in den Fällen von Art. 107 ZPO vom genannten Grundsatz abweichen und nach Ermessen vorgehen. Dies ist unter anderem in familienrechtlichen Verfahren der Fall (Abs. 1 lit. c ZPO). Bei der Prüfung von Ermessensentscheiden übt das Bundesgericht Zurückhaltung. Es schreitet nur ein, wenn die Vorinstanz von anerkannten Grundsätzen abweicht, auf sachfremde Kriterien abstellt oder entscheidrelevante Umstände vernachlässigt. Ausserdem greift es in Ermessensentscheide ein, wenn sie sich als offensichtlich unbillig, als in stossender Weise ungerecht erweisen ( BGE 135 III 121 E. 2 S. 123 f.) Das Obergericht hält fest, im Berufungsverfahren sei es ausschliesslich um Kinderbelange gegangen, was insoweit ungenau ist, als die Obhutszuteilung über D.________ mit den damit verbundenen Folgen zwar im Zentrum stand, indes im selben Verfahren auch die Unterhaltspflicht des Ehegatten als aufgehoben erklärt wurde. Am Charakter des familienrechtlichen Verfahrens ändert sich dadurch ohnehin nichts. Entgegen der Darstellung des Beschwerdeführers hat das Bundesgericht in dem von ihm angeführten Entscheid ( BGE 139 III 358 ) nicht abschliessend zum Verhältnis von Art. 106 ZPO zu Art. 107 ZPO Stellung genommen; hingegen hat es festhalten, dass ein Klagerückzug in der konkreten Konstellation kein Abrücken von der klaren Regelung in Art. 106 Abs. 1 ZPO rechtfertige. Im konkreten Fall hat sich auch der Beschwerdeführer vor der Vorinstanz an der aufwändigen Auseinandersetzung um die Obhut über D.________ sowie die damit verbundenen Folgen beteiligt und im Rahmen der Berufungsantwort (unzulässigerweise) selbstständige Anträge gestellt. Damit ist es unter verfassungsmässigen Gesichtspunkten zumindest im Ergebnis nicht zu beanstanden, wenn das Obergericht die Gerichtskosten den beiden Parteien hälftig auferlegt hat. Weshalb die Beschwerdegegnerin ihm eine Parteientschädigung leisten sollte, begründet der Beschwerdeführer nicht. Auf das entsprechende Begehren ist somit nicht einzutreten ( Art. 106 Abs. 2 BGG ).</w:t>
      </w:r>
    </w:p>
    <w:p>
      <w:r>
        <w:rPr>
          <w:b/>
        </w:rPr>
        <w:t>E. 3</w:t>
      </w:r>
    </w:p>
    <w:p>
      <w:r>
        <w:t>Nach dem Dargelegten ist der Beschwerde kein Erfolg beschieden.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