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5A_320/2024 vom 3. Juni 2024</w:t>
      </w:r>
    </w:p>
    <w:p>
      <w:r>
        <w:t>Bundesgericht, 2024-06-03, DE</w:t>
      </w:r>
    </w:p>
    <w:p>
      <w:r>
        <w:rPr>
          <w:b/>
        </w:rPr>
        <w:t xml:space="preserve">Quelle: </w:t>
      </w:r>
      <w:r>
        <w:t>https://mcp.opencaselaw.ch/entscheid/bger_5A_320_2024</w:t>
      </w:r>
    </w:p>
    <w:p>
      <w:r>
        <w:t>FR: TF 5A_320/2024 du 3 juin 2024</w:t>
      </w:r>
    </w:p>
    <w:p>
      <w:r>
        <w:t>IT: TF 5A_320/2024 del 3 giugno 2024</w:t>
      </w:r>
    </w:p>
    <w:p>
      <w:pPr>
        <w:pStyle w:val="Heading2"/>
      </w:pPr>
      <w:r>
        <w:t>Erwägungen</w:t>
      </w:r>
    </w:p>
    <w:p>
      <w:r>
        <w:rPr>
          <w:b/>
        </w:rPr>
        <w:t>E. 1</w:t>
      </w:r>
    </w:p>
    <w:p>
      <w:r>
        <w:t>Gegen kantonal letztinstanzliche Entscheide über die fürsorgerische Unterbringung steht die Beschwerde in Zivilsachen offen ( Art. 72 Abs. 1, Art. 75 Abs. 1 und Art. 90 BGG ).</w:t>
      </w:r>
    </w:p>
    <w:p>
      <w:r>
        <w:rPr>
          <w:b/>
        </w:rPr>
        <w:t>E. 2</w:t>
      </w:r>
    </w:p>
    <w:p>
      <w:r>
        <w:t>Allerdings geht aus der Eingabe nicht eindeutig ein Beschwerdewillen hervor, weil sich im Unterschied zu früheren Eingaben der Beschwerdeführerin nirgends das Wort "Beschwerde" findet; indes könnte sich ein Anfechtungswillen sinngemäss aus der Aussage ergeben, dass das Recht zu leben bestehe.</w:t>
      </w:r>
    </w:p>
    <w:p>
      <w:r>
        <w:rPr>
          <w:b/>
        </w:rPr>
        <w:t>E. 3</w:t>
      </w:r>
    </w:p>
    <w:p>
      <w:r>
        <w:t>Wie auch immer es sich damit verhält, jedenfalls fehlt es an einer irgendwie gearteten Beschwerdebegründung. Es wäre jedoch in gedrängter Form darzulegen, inwiefern der angefochtene Entscheid Recht verletzt ( Art. 42 Abs. 2 BGG ), was eine sachbezogene Auseinandersetzung mit dessen Erwägungen erfordert ( BGE 140 III 115 E. 2; 142 III 364 E. 2.4). Im angefochtenen Entscheid wird der Schwächezustand sowie das selbstgefährdende Verhalten, die Erforderlichkeit der Unterbringung und die Eignung der Klinik unter Bezugnahme auf das erstellte Gutachten behandelt; es ist nicht ersichtlich, inwiefern die Vorinstanz mit dem angefochtenen Entscheid Recht verletzt haben könnte.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