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5A_320/2014 vom 23. Juli 2014</w:t>
      </w:r>
    </w:p>
    <w:p>
      <w:r>
        <w:t>Bundesgericht, 2014-07-23, DE</w:t>
      </w:r>
    </w:p>
    <w:p>
      <w:r>
        <w:rPr>
          <w:b/>
        </w:rPr>
        <w:t xml:space="preserve">Quelle: </w:t>
      </w:r>
      <w:r>
        <w:t>https://mcp.opencaselaw.ch/entscheid/bger_5A_320_2014</w:t>
      </w:r>
    </w:p>
    <w:p>
      <w:r>
        <w:t>FR: TF 5A_320/2014 du 23 juillet 2014</w:t>
      </w:r>
    </w:p>
    <w:p>
      <w:r>
        <w:t>IT: TF 5A_320/2014 del 23 luglio 2014</w:t>
      </w:r>
    </w:p>
    <w:p>
      <w:pPr>
        <w:pStyle w:val="Heading2"/>
      </w:pPr>
      <w:r>
        <w:t>Erwägungen</w:t>
      </w:r>
    </w:p>
    <w:p>
      <w:r>
        <w:rPr>
          <w:b/>
        </w:rPr>
        <w:t>E. 1.1</w:t>
      </w:r>
    </w:p>
    <w:p>
      <w:r>
        <w:t>Angefochten ist - binnen Frist ( Art. 100 Abs. 1 BGG ) - ein kantonal letztinstanzlicher Nichteintretensentscheid ( Art. 75 Abs. 1 BGG ), der das erstinstanzliche Verfahren nicht abschliesst und damit als Zwischenentscheid zu qualifizieren ist ( BGE 134 III 188 ; zuletzt Urteile 5A_427/2014 vom 16. Juni 2014 E. 1.1; 5A_73/2014 vom 18. März 2014 E. 1.2; 5A_421/2013 vom 19. August 2013 E. 1.3, in: FamPra.ch 2013, S. 1032). Dass der angefochtene Rechtsmittelentscheid auf Nichteintreten lautet, ändert an dieser Qualifikation nichts ( BGE 137 III 380 E. 1.1 S. 381 f.). Bei Zwischenentscheiden folgt der Rechtsweg jenem der Hauptsache. In dieser geht es um die Anordnung von Massnahmen zum Schutz der ehelichen Gemeinschaft ( Art. 172 ff. ZGB ). Strittig ist hier insbesondere die Obhut über das gemeinsame Kind, mithin eine Zivilsache im Sinn von Art. 72 Abs. 1 BGG , welche nicht dem Streitwerterfordernis von Art. 74 Abs. 1 lit. b BGG unterliegt.</w:t>
      </w:r>
    </w:p>
    <w:p>
      <w:r>
        <w:rPr>
          <w:b/>
        </w:rPr>
        <w:t>E. 1.2</w:t>
      </w:r>
    </w:p>
    <w:p>
      <w:r>
        <w:t>Gegen Vor- und Zwischenentscheide die weder die Zuständigkeit noch den Ausstand betreffen ( Art. 92 BGG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Nach der Rechtsprechung obliegt es dem Beschwerdeführer darzutun, dass eine dieser beiden Voraussetzungen erfüllt ist, es sei denn, deren Vorliegen springe geradezu in die Augen ( BGE 137 III 324 E. 1.1 S. 329; 134 III 426 E. 1.2 S. 429).</w:t>
      </w:r>
    </w:p>
    <w:p>
      <w:r>
        <w:rPr>
          <w:b/>
        </w:rPr>
        <w:t>E. 1.3</w:t>
      </w:r>
    </w:p>
    <w:p>
      <w:r>
        <w:t>Nach der Rechtsprechung des Bundesgerichts führt die Bestellung eines gerichtlichen Gutachters in der Regel nicht zu einem nicht wieder gutzumachenden Nachteil im Sinne von Art. 93 Abs. 1 lit. a BGG (Urteile 5D_166/2011 vom 13. Dezember 2011 E. 2.4; 5A_187/2014 vom 9. Mai 2014 E. 3.1). Dies kann im Einzelfall anders sein. Einen nicht wieder gutzumachenden Nachteil hat das Bundesgericht zum Beispiel bei der Anordnung einer Begutachtung angenommen, bei welcher ein Kind mit einem umstrittenen Experten und einem Dolmetscher konfrontiert worden wäre (Urteil 1B_495/2011 vom 18. Oktober 2011 E. 1.2).</w:t>
      </w:r>
    </w:p>
    <w:p>
      <w:r>
        <w:rPr>
          <w:b/>
        </w:rPr>
        <w:t>E. 1.4</w:t>
      </w:r>
    </w:p>
    <w:p>
      <w:r>
        <w:t>Die Beschwerdeführerin beanstandet die mit bezirksgerichtlicher Beweisverfügung vom 19. Dezember 2013 erfolgte Ernennung des Sachverständigen für die Erstellung eines Gutachtens über die Erziehungsfähigkeit beider Parteien in der Person von Dr. med. B.________. Sie erblickt einen nicht wieder gutzumachenden Nachteil darin, dass die Ernennung eines in fachlicher Hinsicht nicht ausreichend qualifizierten Gutachters, dessen Neutralität überdies nicht über alle Zweifel erhaben sei, das Eheschutzverfahren unnötig verlängern würde. Vorliegend gehe es um Kinderbelange, weshalb die zeitliche Komponente grösseres Gewicht habe. Einerseits sei die Zeit mit dem eigenen Kind unwiederbringlich verloren, andererseits könne ein Andauern des aktuellen Zustands eine Präjudizierung desselben bewirken. Nicht zu vernachlässigen sei schliesslich, dass gerade das Kind durch eine eventuell notwendig werdende Wiederholung einer mangelhaften Begutachtung unnötig belastet würde.</w:t>
      </w:r>
    </w:p>
    <w:p>
      <w:r>
        <w:rPr>
          <w:b/>
        </w:rPr>
        <w:t>E. 1.5</w:t>
      </w:r>
    </w:p>
    <w:p>
      <w:r>
        <w:t>Die Beschwerdeführerin vermag mit ihren Ausführungen nicht im Einzelnen darzulegen (s. E. 1.2 oben), dass die Ernennung des bezeichneten Gutachters im vorliegenden Fall einen nicht wieder gutzumachenden Nachteil im Sinne von Art. 93 Abs. 1 lit. a BGG bewirken könnte. Ein solcher Nachteil ist auch nicht ersichtlich. Der pauschale Einwand, Dr. med. B.________ fehle es an der notwendigen erwachsenenpsychiatrischen Qualifikation, lässt ausser Acht, dass es auf die psychische Gesundheit der Eltern nur insoweit ankommt, als sie sich auf die Erziehungsfähigkeit der Eltern und auf deren Verhältnis zum Kind auswirkt (s. dazu auch Urteil 5A_187/2014 vom 9. Mai 2014 E. 3.2). Sinngemäss hat dies bereits das Bezirksgericht in Dispositiv-Ziffer 2 der Verfügung vom 19. Dezember 2013 erwogen. Indem die Beschwerdeführerin gleichwohl darauf beharrt, dass ein Kinderpsychiater nicht über die notwendige Qualifikation verfüge, um bei Erwachsenen allfällige psychiatrische Störungen zu diagnostizieren, legt sie lediglich ihre eigene Sicht der Dinge dar. Ebenso wenig genügt sie ihrer Begründungsobliegenheit, soweit sie geltend macht, dass es Dr. med. B.________ an der notwendigen Neutralität und Unbefangenheit fehle. Weder hatte die Vorinstanz ein Ausstandsgesuch zu beurteilen, noch macht die Beschwerdeführerin vor Bundesgericht einen Ausstandsgrund geltend. Zudem hat die telefonische Anfrage des Bezirksgerichts beim bezeichneten Gutachter ergeben, dass der Kindsvater im November 2012 zwar eine Terminanfrage für ein Erstgespräch gestellt, ein solches jedoch nie stattgefunden hat (act. 100; Dispositiv-Ziffer 2 der Verfügung des Bezirksgerichts vom 19. Dezember 2013). Die Beschwerdeführerin weist zwar darauf hin, dass der Kindsvater zunächst tatsachenwidrig einen Erstkontakt verneint hat. Die daraus gezogene Schlussfolgerung, Dr. med. B.________ könne befangen sein, beruht jedoch auf reinen Mutmassungen und vermag daher keinen nicht wieder gutzumachenden Nachteil im Sinne von Art. 93 Abs. 1 lit. a BGG zu begründen. Ist aber bezüglich des Entscheids, Dr. med. B.________ als Gutachter einzusetzen, ein nicht wieder gutzumachender Nachteil weder dargetan noch sonstwie erkennbar, so ist nicht ersichtlich, wie eine allenfalls mangelhafte Begründung dieses Entscheids seitens der Vorinstanz zu einem solchen irreparablen Rechtsnachteil führen kann. Gegenteiliges legt die Beschwerdeführerin mit ihren Ausführungen nicht dar. Insoweit kann auf die Beschwerde nicht eingetreten werden.</w:t>
      </w:r>
    </w:p>
    <w:p>
      <w:r>
        <w:t>Dies gilt auch, soweit die Beschwerdeführerin sich gegen die Kostenverteilung im angefochtenen Entscheid wendet, denn die Zulässigkeit der Beschwerde gegen den Kostenpunkt eines Zwischenentscheids hängt davon ab, ob der Hauptpunkt des Zwischenentscheids nach Massgabe von Art. 93 Abs. 1 BGG angefochten werden kann ( BGE 135 III 329 E. 1 S. 331 ff.; 138 III 94 E. 2.3 S. 95 f.; Urteile 4A_128/2009 vom 1. Juli 2009 E. 1; 4A_269/2013 vom 7. Oktober 2013 E. 1.2.3; 5A_130/2014 vom 20. März 2014 E. 1).</w:t>
      </w:r>
    </w:p>
    <w:p>
      <w:r>
        <w:rPr>
          <w:b/>
        </w:rPr>
        <w:t>E. 2</w:t>
      </w:r>
    </w:p>
    <w:p>
      <w:r>
        <w:t>Aus den dargelegten Gründen ist auf die Beschwerde nicht einzutreten. Bei diesem Verfahrensausgang hat die Beschwerdeführerin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