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5A_319/2019 vom 16. Mai 2019</w:t>
      </w:r>
    </w:p>
    <w:p>
      <w:r>
        <w:t>Bundesgericht, 2019-05-16, DE</w:t>
      </w:r>
    </w:p>
    <w:p>
      <w:r>
        <w:rPr>
          <w:b/>
        </w:rPr>
        <w:t xml:space="preserve">Quelle: </w:t>
      </w:r>
      <w:r>
        <w:t>https://mcp.opencaselaw.ch/entscheid/bger_5A_319_2019</w:t>
      </w:r>
    </w:p>
    <w:p>
      <w:r>
        <w:t>FR: TF 5A_319/2019 du 16 mai 2019</w:t>
      </w:r>
    </w:p>
    <w:p>
      <w:r>
        <w:t>IT: TF 5A_319/2019 del 16 maggio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weder ein Rechtsbegehren noch eine (auch nur ansatzweise) Auseinandersetzung mit dem angefochtenen Entscheid; die Beschwerdeführerin hält einzig fest, sie "erhebe ihr Recht auf Einsprache und wende Justizia an". Damit erweist sich die Beschwerde als offensichtlich nicht hinreichend bzw. gar nicht begründet, weshalb auf sie nicht eingetreten werden kann und der Präsident im vereinfachten Verfahren entscheidet ( Art. 108 Abs. 1 lit. b BGG ).</w:t>
      </w:r>
    </w:p>
    <w:p>
      <w:r>
        <w:rPr>
          <w:b/>
        </w:rPr>
        <w:t>E. 3</w:t>
      </w:r>
    </w:p>
    <w:p>
      <w:r>
        <w:t>Die formellen Voraussetzungen für die unentgeltliche Rechtspflege (Prozessarmut) werden nicht dargelegt und im Übrigen konnte der Beschwerde, wie die vorstehenden Erwägungen zeigen, von Anfang an kein Erfolg beschieden sein, weshalb es auch an den materiellen Voraussetzungen der unentgeltlichen Rechtspflege fehlt ( Art. 64 Abs. 1 BGG ) und das betreffende Gesuch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