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318/2024 vom 29. Mai 2024</w:t>
      </w:r>
    </w:p>
    <w:p>
      <w:r>
        <w:t>Bundesgericht, 2024-05-29, DE</w:t>
      </w:r>
    </w:p>
    <w:p>
      <w:r>
        <w:rPr>
          <w:b/>
        </w:rPr>
        <w:t xml:space="preserve">Quelle: </w:t>
      </w:r>
      <w:r>
        <w:t>https://mcp.opencaselaw.ch/entscheid/bger_5A_318_2024</w:t>
      </w:r>
    </w:p>
    <w:p>
      <w:r>
        <w:t>FR: TF 5A 318/2024 du 29 mai 2024</w:t>
      </w:r>
    </w:p>
    <w:p>
      <w:r>
        <w:t>IT: TF 5A 318/2024 del 29 maggio 2024</w:t>
      </w:r>
    </w:p>
    <w:p>
      <w:pPr>
        <w:pStyle w:val="Heading2"/>
      </w:pPr>
      <w:r>
        <w:t>Regeste</w:t>
      </w:r>
    </w:p>
    <w:p>
      <w:r>
        <w:t>Ausstand (Kindesbelange) | Familienrecht</w:t>
      </w:r>
    </w:p>
    <w:p>
      <w:pPr>
        <w:pStyle w:val="Heading2"/>
      </w:pPr>
      <w:r>
        <w:t>Erwägungen</w:t>
      </w:r>
    </w:p>
    <w:p>
      <w:r>
        <w:rPr>
          <w:b/>
        </w:rPr>
        <w:t>E. 1</w:t>
      </w:r>
    </w:p>
    <w:p>
      <w:r>
        <w:t>Das Mitwirken an einem früheren Urteil ist für sich genommen kein Ausstandsgrund ( Art. 34 Abs. 2 BGG ; BGE 143 IV 69 E. 3.1) und bei entsprechenden Ausstandsbegehren kann das abgelehnte Gerichtsmitglied nach ständiger bundesgerichtlicher Rechtsprechung bei der im Sachentscheid integrierten Beurteilung des Ablehungsbegehrens mitwirken (Urteile 2F_12/2008 vom 4. Dezember 2008 E. 2.1; 2C_466/2010 vom 25. Oktober 2010 E. 2.3; 1C_443/2015 vom 23. Februar 2016 E. 1; 2C_590/2016 vom 23. August 2016 E. 2.4; 1B_491/2016 vom 24. März 2017 E. 1.2.2; 1C_187/2017 vom 20. März 2018 E. 4.2; 5A_965/2018 vom 15. September 2019 E. 2.1;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So verhält es sich auch vorliegend: Der Beschwerdeführer begründet die angebliche Befangenheit von Bundesrichter Herrmann abstrakt mit "besonders krassen und wiederholten Irrtümern" und macht in allgemeiner Weise geltend, die ständige Rechtsprechung des Bundesgerichtes und des EGMR sei in den früheren Urteilen nicht berücksichtigt worden, indem sein Familienleben ungenügend geschützt werde. Das Ausstandsbegehren ist folglich von vornherein unbegründet und Bundesrichter Herrmann kann am vorliegenden Urteil mitwirken.</w:t>
      </w:r>
    </w:p>
    <w:p>
      <w:r>
        <w:rPr>
          <w:b/>
        </w:rPr>
        <w:t>E. 2</w:t>
      </w:r>
    </w:p>
    <w:p>
      <w:r>
        <w:t>Angefochten ist ein kantonal letztinstanzlicher Entscheid über ein Ausstandsbegehren gegenüber der erstinstanzlichen Richterin in einem Zivilverfahren; die Beschwerde in Zivilsachen steht an sich offen ( Art. 72 Abs. 1, Art. 75 Abs. 1 und Art. 92 Abs. 1 BGG ). Indes ist zu beachten, dass die Vorinstanz auf das Rechtsmittel des Beschwerdeführers mangels hinreichender Begründung nicht eingetreten ist. Anfechtungsgegenstand kann deshalb grundsätzlich nur die Frage bilden, ob das Kantonsgericht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Eine solche Darlegung geht der Beschwerde vollständig ab. Der Beschwerdeführer kritisiert äusserst weitschweifig die Mutter, deren Anwältin, die KESB, das erstinstanzliche Gericht und dass in Verletzung seiner familienrechtlichen (Grund-) Rechte seine Beziehung zum Sohn torpediert werde, weshalb alle Entscheide des Bezirksgerichts nichtig seien. Eine sachgerichtete Auseinandersetzung mit den ausführlichen Nichteintretenserwägungen des angefochtenen Entscheides ist nicht auszumachen. Somit ist die Beschwerde nicht hinreichend begründet und es kann folglich nicht auf sie eingetreten werden.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