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5A_318/2019 vom 25. April 2019</w:t>
      </w:r>
    </w:p>
    <w:p>
      <w:r>
        <w:t>Bundesgericht, 2019-04-25, DE</w:t>
      </w:r>
    </w:p>
    <w:p>
      <w:r>
        <w:rPr>
          <w:b/>
        </w:rPr>
        <w:t xml:space="preserve">Quelle: </w:t>
      </w:r>
      <w:r>
        <w:t>https://mcp.opencaselaw.ch/entscheid/bger_5A_318_2019</w:t>
      </w:r>
    </w:p>
    <w:p>
      <w:r>
        <w:t>FR: TF 5A_318/2019 du 25 avril 2019</w:t>
      </w:r>
    </w:p>
    <w:p>
      <w:r>
        <w:t>IT: TF 5A_318/2019 del 25 aprile 2019</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Die Tochter kann deshalb nicht als Vertreterin ihrer Mutter Beschwerde erheben.</w:t>
      </w:r>
    </w:p>
    <w:p>
      <w:r>
        <w:rPr>
          <w:b/>
        </w:rPr>
        <w:t>E. 2</w:t>
      </w:r>
    </w:p>
    <w:p>
      <w:r>
        <w:t>Im Unterschied zu Art. 450 Abs. 2 Ziff. 2 ZGB , wonach im kantonalen Rechtsmittelverfahren auch der betroffenen Person nahestehende Personen beschwerdebefugt sind, verlangt Art. 76 Abs. 1 lit. b BGG für die Beschwerdeführung vor Bundesgericht ein eigenes schutzwürdiges Interesse der beschwerdeführenden Person (Urteile 5A_559/2016 vom 1. März 2017 E. 2.3; 5A_823/2016 vom 22. März 2017 E. 2.1; 5A_600/2017 vom 17. August 2017 E. 1; 5A_227/2019 vom 25. April 2019 E. 1). Die Beschwerdeführerin legt, soweit sie in eigenem Namen Beschwerde erhebt, das eigene Interesse - etwa im Zusammenhang mit der Validierung des Vorsorgeauftrages - an der Aufhebung der Abschreibungsverfügung nicht dar, sondern scheint diese vielmehr als nahestehende Person für ihre Mutter anfechten zu wollen.</w:t>
      </w:r>
    </w:p>
    <w:p>
      <w:r>
        <w:rPr>
          <w:b/>
        </w:rPr>
        <w:t>E. 3</w:t>
      </w:r>
    </w:p>
    <w:p>
      <w:r>
        <w:t>Die Beschwerde vermöchte aber auch inhaltlich den Anforderungen, wie sie für Rechtsmittel an das Bundesgericht gelten, nicht zu genügen:</w:t>
      </w:r>
    </w:p>
    <w:p>
      <w:r>
        <w:t>Die Beschwerde hat ein Begehren in der Sache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Es wird nicht ansatzweise aufgezeigt, inwiefern das Appellationsgericht mit der Abschreibung des gegen die Errichtung der Beistandschaft eingereichten Rechtsmittels gegen Recht verstossen haben könnte, nachdem die KESB diese Massnahme wiederum aufgehoben hatte. Es scheint der Tochter offenbar auch mehr um eine Beanstandung von angeblich Unterstellungen enthaltenden Erwägungen im Entscheid der KESB zu gehen; dieser kann aber vor Bundesgericht nicht Anfechtungsobjekt bilden (vgl. Art. 75 Abs. 1 BGG ). Ferner bringt sie vor, die erwachsenenschutzrechtliche Massnahme sei nicht am 27. Dezember 2018 aufgehoben, sondern bis am 27. März 2018 (gemeint wohl: 27. März 2019) weitergeführt worden, was zusätzliche Schadensfolge für die Steuerverwaltung bedeute. Weiter wird Bezug genommen auf eine aufsichtsrechtliche Anzeige vom 25. Januar 2019 ("Schadensfolgen durch die Beiständin" wegen "Fehlplanungen" im Zusammenhang mit medizinischer Betreuung der Mutter). All dies war aber nicht Gegenstand der Abschreibungsverfügung und kann deshalb auch nicht zum Thema des bundesgerichtlichen Verfahrens gemacht werden.</w:t>
      </w:r>
    </w:p>
    <w:p>
      <w:r>
        <w:rPr>
          <w:b/>
        </w:rPr>
        <w:t>E. 4</w:t>
      </w:r>
    </w:p>
    <w:p>
      <w:r>
        <w:t>Nach dem Gesagten erweist sich die Beschwerde als offensichtlich unzulässig und offensichtlich nicht hinreichend begründet, weshalb auf sie nicht eingetreten werden kann und der Präsident im vereinfachten Verfahren entscheidet ( Art. 108 Abs. 1 lit. a und b BGG ).</w:t>
      </w:r>
    </w:p>
    <w:p>
      <w:r>
        <w:rPr>
          <w:b/>
        </w:rPr>
        <w:t>E. 5</w:t>
      </w:r>
    </w:p>
    <w:p>
      <w:r>
        <w:t>Zumal nur eine Generalvollmacht, aber keine spezifische Vollmacht für das bundesgerichtliche Verfahren vorgelegt wird, sind die Gerichtskosten der Tochter allein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