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5A_318/2009 vom 19. Oktober 2009</w:t>
      </w:r>
    </w:p>
    <w:p>
      <w:r>
        <w:t>Bundesgericht, 2009-10-19, FR</w:t>
      </w:r>
    </w:p>
    <w:p>
      <w:r>
        <w:rPr>
          <w:b/>
        </w:rPr>
        <w:t xml:space="preserve">Quelle: </w:t>
      </w:r>
      <w:r>
        <w:t>https://mcp.opencaselaw.ch/entscheid/bger_5A_318_2009</w:t>
      </w:r>
    </w:p>
    <w:p>
      <w:r>
        <w:t>FR: TF 5A_318/2009 du 19 octobre 2009</w:t>
      </w:r>
    </w:p>
    <w:p>
      <w:r>
        <w:t>IT: TF 5A_318/2009 del 19 ottobre 2009</w:t>
      </w:r>
    </w:p>
    <w:p>
      <w:pPr>
        <w:pStyle w:val="Heading2"/>
      </w:pPr>
      <w:r>
        <w:t>Erwägungen</w:t>
      </w:r>
    </w:p>
    <w:p>
      <w:r>
        <w:rPr>
          <w:b/>
        </w:rPr>
        <w:t>E. 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w:t>
      </w:r>
    </w:p>
    <w:p>
      <w:r>
        <w:t>Comme le litige porte uniquement sur la contribution d'entretien, le recours a pour objet une décision rendue dans une affaire pécuniaire ( ATF 133 III 393 consid. 2 p. 395), dont la valeur litigieuse atteint 30'000 fr. ( art. 51 al. 1 let. a et al. 4, art. 74 al. 1 let. b LTF ).</w:t>
      </w:r>
    </w:p>
    <w:p>
      <w:r>
        <w:t>La recourante a qualité pour recourir ( art. 76 al. 1 LTF ), car elle a pris part à la procédure devant l'autorité précédente et a un intérêt juridique à la modification de la décision attaquée.</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 ATF 134 III 524 consid. 1.3). Dans le canton de Vaud, le jugement sur appel en matière de mesures provisionnelles ne peut faire l'objet d'un recours en nullité que pour les motifs prévus par l' art. 444 al. 1 CPC /VD, à savoir lorsque le déclinatoire aurait dû être prononcé d'office (ch. 1), pour absence d'assignation régulière ou pour violation de l' art. 305 CPC /VD lorsque le jugement a été rendu par défaut (ch. 2) et pour violation des règles essentielles de la procédure (ch. 3), à savoir pour déni de justice formel, ainsi que pour arbitraire dans l'appréciation des preuves ( ATF 126 I 257 consid. 1b). Interjeté non pour ces motifs, mais pour arbitraire ( art. 9 Cst. ) dans l'application du droit civil fédéral, le recours est donc recevable, le Tribunal d'arrondissement s'étant prononcé en dernière instance cantonale.</w:t>
      </w:r>
    </w:p>
    <w:p>
      <w:r>
        <w:t>Le recours a en outre été interjeté dans le délai ( art. 100 al. 1 LTF ) et la forme ( art. 42 LTF ) prévus par la loi.</w:t>
      </w:r>
    </w:p>
    <w:p>
      <w:r>
        <w:rPr>
          <w:b/>
        </w:rPr>
        <w:t>E. 2</w:t>
      </w:r>
    </w:p>
    <w:p>
      <w:r>
        <w:t>La contribution d'entretien litigieuse a été fixée initialement dans le cadre de mesures protectrices de l'union conjugale. Sa modification subséquente par le biais de mesures provisionnelles n'était dès lors possible que si des faits nouveaux le justifiaient, à savoir s'il y avait eu changement notable et durable ( ATF 129 III 60 consid. 2; arrêt 5P.390/2005 du 3 février 2006 consid. 1.4). A défaut de grief soulevé sur ce point, la question n'a pas à être examinée.</w:t>
      </w:r>
    </w:p>
    <w:p>
      <w:r>
        <w:rPr>
          <w:b/>
        </w:rPr>
        <w:t>E. 3</w:t>
      </w:r>
    </w:p>
    <w:p>
      <w:r>
        <w:t>Dans sa décision, le tribunal d'arrondissement a retenu les éléments suivants: la recourante perçoit un revenu de 1'500 fr. et supporte des charges de 4'200 fr.; il lui manque dès lors 2'700 fr. par mois pour équilibrer son budget. Quant à l'intimé, son revenu mensuel net est de 5'920 fr. et ses charges s'élèvent à 3'049 fr. 30, ce qui lui laisse un montant disponible de 2'870 fr. 70 par mois. Partant du principe que l'intimé devait couvrir le manco de l'appelante, les juges cantonaux ont fixé la contribution à 2'800 fr. par mois dès le 1er juillet 2008.</w:t>
      </w:r>
    </w:p>
    <w:p>
      <w:r>
        <w:rPr>
          <w:b/>
        </w:rPr>
        <w:t>E. 3.1</w:t>
      </w:r>
    </w:p>
    <w:p>
      <w:r>
        <w:t>Pour apprécier les revenus de l'intimé, les juges cantonaux se sont d'abord référés à la décision cantonale de taxation du 20 octobre 2008 portant sur l'impôt 2007, laquelle faisait état d'un revenu agricole de 36'807 fr. et de revenus immobiliers (immeubles situés à A.________, B.________ et C.________) de 114'480 fr., soit 151'287 fr. au total. Ils ont ensuite déduit de ces revenus les frais hypothécaires (24'393 fr. non contestés devant le Tribunal fédéral) et les frais d'entretien des immeubles (55'853 fr.). A ce propos, ils se sont référés au témoignage de D.________, expert-comptable auprès de la fiduciaire Y.________ SA, qui avait affirmé que les frais d'entretien de l'année 2007 étaient effectifs, et ils ont constaté que lesdits frais avaient été admis par le fisc dans sa décision de taxation. Sur la base de ces éléments, les juges cantonaux sont arrivés à un revenu mensuel net de 5'920 fr. (151'287 fr. - 55'853 fr. - 24'393 fr. : 12).</w:t>
      </w:r>
    </w:p>
    <w:p>
      <w:r>
        <w:rPr>
          <w:b/>
        </w:rPr>
        <w:t>E. 3.2</w:t>
      </w:r>
    </w:p>
    <w:p>
      <w:r>
        <w:t>La recourante se plaint du fait que les frais d'entretien des immeubles de l'intimé, tels que retenus par les premiers juges, sont disproportionnés. Elle allègue que la plupart des travaux exécutés en 2007 sur l'immeuble de A.________ concernent une réfection du toit et que certains travaux exécutés en 2006 sur l'immeuble de C.________ seraient en lien avec les balcons de ce bâtiment; elle en déduit ainsi que de telles interventions constitueraient des améliorations de ces constructions, qui ne devraient pas être prises en compte parce que ne représentant pas des travaux d'entretien. Se référant aux tabelles fiscales 2008 concernant les déductions admises, elle estime que seules des déductions forfaitaires de 20 % auraient dû être admises à titre de frais d'entretien des immeubles. Elle reproche par ailleurs à l'intimé d'avoir volontairement multiplié des travaux, notamment à plus-value, sur ses immeubles dans le but de diminuer le montant de sa contribution d'entretien.</w:t>
      </w:r>
    </w:p>
    <w:p>
      <w:r>
        <w:t>La recourante soutient également que les juges précédents auraient arbitrairement appliqué les art. 137 al. 2, 176 et 163 CC et seraient de la sorte parvenus à un résultat choquant.</w:t>
      </w:r>
    </w:p>
    <w:p>
      <w:r>
        <w:rPr>
          <w:b/>
        </w:rPr>
        <w:t>E. 3.3</w:t>
      </w:r>
    </w:p>
    <w:p>
      <w:r>
        <w:t>Il ressort tant de la décision de taxation pour l'année 2007 que du rapport de l'expert-comptable D.________, que les frais d'entretien des immeubles de B.________ et C.________ se sont élevés à 55'853 fr. pour des revenus de 114'480 fr. Le jugement entrepris ne fait référence ni aux revenus ni aux charges de l'immeuble de A.________. En cela, il suit la décision de taxation, à teneur de laquelle cet immeuble ne produit aucun revenu. Selon l'expert-comptable, les revenus de cet immeuble, pour l'année 2007, se sont élevés à 76'875 fr. pour des charges de 72'965 fr.</w:t>
      </w:r>
    </w:p>
    <w:p>
      <w:r>
        <w:t>Il y a application arbitraire du droit fédéral à porter en déduction des frais d'entretien comprenant des frais extraordinaires de rénovation ou de plus-value. La taxation fiscale qui admet la déduction de tels frais n'est pas déterminante dans le domaine de la fixation des contributions d'entretien; elle n'a qu'une valeur d'indice. En l'espèce, il y a application arbitraire du droit fédéral à considérer comme des frais d'entretien un montant de 55'853 fr. sur des revenus de 114'480 fr., voire, dans le cas de l'immeuble de A.________, des frais d'entretien d'un montant quasiment identique à celui des revenus. A cet égard, compte tenu de la maxime inquisitoire applicable en l'occurrence, la recourante reproche à juste titre au tribunal d'arrondissement de ne pas s'être enquis du détail des frais d'entretien et des travaux effectués, partant de n'avoir pas déterminé précisément, comme il aurait dû le faire, quels étaient les frais d'entretien qui pouvaient être déduits.</w:t>
      </w:r>
    </w:p>
    <w:p>
      <w:r>
        <w:t>Il y a lieu, par conséquent, d'admettre le recours, d'annuler le jugement attaqué et de renvoyer l'affaire à l'autorité précédente pour nouvelle décision.</w:t>
      </w:r>
    </w:p>
    <w:p>
      <w:r>
        <w:rPr>
          <w:b/>
        </w:rPr>
        <w:t>E. 4</w:t>
      </w:r>
    </w:p>
    <w:p>
      <w:r>
        <w:t>L'intimé, qui succombe, doit être chargé des frais judiciaires ( art. 66 al. 1 LTF ), ainsi que des dépens dus à la recourante ( art. 68 al. 1 LTF ). Cela étant, la requête d'assistance judiciaire de cette dernière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