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317/2023 vom 2. Mai 2023</w:t>
      </w:r>
    </w:p>
    <w:p>
      <w:r>
        <w:t>Bundesgericht, 2023-05-02, DE</w:t>
      </w:r>
    </w:p>
    <w:p>
      <w:r>
        <w:rPr>
          <w:b/>
        </w:rPr>
        <w:t xml:space="preserve">Quelle: </w:t>
      </w:r>
      <w:r>
        <w:t>https://mcp.opencaselaw.ch/entscheid/bger_5A_317_2023</w:t>
      </w:r>
    </w:p>
    <w:p>
      <w:r>
        <w:t>FR: TF 5A 317/2023 du 2 mai 2023</w:t>
      </w:r>
    </w:p>
    <w:p>
      <w:r>
        <w:t>IT: TF 5A 317/2023 del 2 maggio 2023</w:t>
      </w:r>
    </w:p>
    <w:p>
      <w:pPr>
        <w:pStyle w:val="Heading2"/>
      </w:pPr>
      <w:r>
        <w:t>Regeste</w:t>
      </w:r>
    </w:p>
    <w:p>
      <w:r>
        <w:t>Pfändung | Schuldbetreibungs- und Konkursrecht</w:t>
      </w:r>
    </w:p>
    <w:p>
      <w:pPr>
        <w:pStyle w:val="Heading2"/>
      </w:pPr>
      <w:r>
        <w:t>Erwägungen</w:t>
      </w:r>
    </w:p>
    <w:p>
      <w:r>
        <w:rPr>
          <w:b/>
        </w:rPr>
        <w:t>E. 1</w:t>
      </w:r>
    </w:p>
    <w:p>
      <w:r>
        <w:t>Soweit der Beschwerdeführer gegen das Kantonsgericht bzw. die Präsidentin der vorinstanzlich urteilenden Abteilung eine Strafanzeige einreichen will (wegen Begünstigung, Vorteilsannahme, Vorteilsgewährung, ungetreuer Amtsführung, Irreführung der Rechtspflege, Amtsmissbrauch u.v.m.), ist festzuhalten, dass das Bundesgericht zur Entgegennahme von Strafanzeigen unzuständig ist.</w:t>
      </w:r>
    </w:p>
    <w:p>
      <w:r>
        <w:rPr>
          <w:b/>
        </w:rPr>
        <w:t>E. 2</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 Eine dahingehende und sachgerichtete Begründung lässt sich der Beschwerde nicht entnehmen. Der Beschwerdeführer behauptet, dass er seine Unpfändbarkeit klar nachgewiesen habe, dass alle Beweise missachtet würden, dass er vom Kantonsgericht und vom Bezirksgericht sowie von der Staatsanwaltschaft permanent schikaniert und von rechtsstaatlichen Verfahren ausgegrenzt werde. All dies gibt keinen Fingerzeig, inwiefern die Vorinstanz mit ihren Nichteintretenserwägungen gegen Recht verstossen haben soll.</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