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5A_317/2014 vom 15. Juli 2014</w:t>
      </w:r>
    </w:p>
    <w:p>
      <w:r>
        <w:t>Bundesgericht, 2014-07-15, FR</w:t>
      </w:r>
    </w:p>
    <w:p>
      <w:r>
        <w:rPr>
          <w:b/>
        </w:rPr>
        <w:t xml:space="preserve">Quelle: </w:t>
      </w:r>
      <w:r>
        <w:t>https://mcp.opencaselaw.ch/entscheid/bger_5A_317_2014</w:t>
      </w:r>
    </w:p>
    <w:p>
      <w:r>
        <w:t>FR: TF 5A_317/2014 du 15 juillet 2014</w:t>
      </w:r>
    </w:p>
    <w:p>
      <w:r>
        <w:t>IT: TF 5A_317/2014 del 15 luglio 2014</w:t>
      </w:r>
    </w:p>
    <w:p>
      <w:pPr>
        <w:pStyle w:val="Heading2"/>
      </w:pPr>
      <w:r>
        <w:t>Erwägungen</w:t>
      </w:r>
    </w:p>
    <w:p>
      <w:r>
        <w:rPr>
          <w:b/>
        </w:rPr>
        <w:t>E. 1.1</w:t>
      </w:r>
    </w:p>
    <w:p>
      <w:r>
        <w:t>Le recours a été déposé dans le délai légal ( art. 100 al. 2 let. a LTF ) à l'encontre d'une décision finale ( art. 90 LTF ; ATF 135 I 187 consid. 1.2 p. 189 et la jurisprudence citée) rendue en matière de poursuite pour dettes ( art. 72 al. 2 let. a LTF , en relation avec l' art. 19 LP ) par une autorité de surveillance statuant en dernière (unique) instance cantonale ( art. 75 al. 1 LTF ); le " recours " est recevable en tant que recours en matière civile, indépendamment de la valeur litigieuse ( art. 74 al. 2 let . c LTF); la plaignante, qui a été déboutée par l'autorité cantonale, a qualité pour recourir ( art. 76 al. 1 LTF ).</w:t>
      </w:r>
    </w:p>
    <w:p>
      <w:r>
        <w:rPr>
          <w:b/>
        </w:rPr>
        <w:t>E. 1.2</w:t>
      </w:r>
    </w:p>
    <w:p>
      <w:r>
        <w:t>La recourante entend prouver certaines de ses allégations par " audition des parties ". Cela étant, les faits et moyens de preuve nouveaux sont prohibés ( art. 99 al. 1 LTF ) et la recourante ne démontre pas que la décision entreprise aurait, pour la première fois, rendu pertinent le moyen de preuve qu'elle requiert ( ATF 133 III 393 consid. 3 p. 395).</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 " principe d'allégation " ,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s'ensuit que les faits que la recourante expose sont inadmissibles en tant qu'ils s'écartent des constatations de la cour cantonale, sous réserve des moyens tirés de l'inexactitude manifeste de ces constatations ( art. 97 al. 1 LTF ), motivés conformément aux exigences de l' art. 106 al. 2 LTF (cf. supra consid. 2.1; ATF 134 II 244 consid. 2.2 p. 246).</w:t>
      </w:r>
    </w:p>
    <w:p>
      <w:r>
        <w:rPr>
          <w:b/>
        </w:rPr>
        <w:t>E. 3</w:t>
      </w:r>
    </w:p>
    <w:p>
      <w:r>
        <w:t>La Chambre de surveillance a considéré, en substance, que le montant versé par l'époux devait être qualifié de contribution d'entretien au sens de l' art. 163 CC , partant qu'il était relativement saisissable ( art. 93 LP ).</w:t>
      </w:r>
    </w:p>
    <w:p>
      <w:r>
        <w:t>Il ressort de l'arrêt entrepris que la poursuivie n'exerce aucune activité lucrative depuis la naissance de sa fille issue de son union avec son conjoint actuel, tiers débiteur. Les époux ont convenu depuis plusieurs années d'avoir des résidences séparées, tout en formant toujours une famille, et se sont mis d'accord sur le fait que l'époux continuerait d'assumer l'intégralité de l'entretien de la famille au sens de l' art. 163 CC . Ainsi, le montant de 7'500 fr. par mois versé par l'époux sur le compte bancaire de l'épouse, et qui constitue l'unique revenu de celle-ci, reflète leur situation économique et leur niveau de vie convenu. Selon l'autorité cantonale, peu importe le mode de paiement de cette contribution, qu'il s'agisse du versement d'un montant mensuel global sur le compte bancaire du conjoint créancier, ou encore du paiement, directement par l'époux débiteur de la contribution, des factures de l'autre époux et de la remise à ce dernier de l'argent nécessaire au gré de ses besoins personnels. Pour ces motifs, l'autorité précédente a considéré que la créance de la plaignante à l'égard de son époux, fixée à 7'500 fr., constitue une créance d'entretien relativement saisissable au sens de l' art. 93 al. 1 LP , dont la part (3'800 fr.) qui excède le montant nécessaire à la couverture de son minimum vital peut être saisie.</w:t>
      </w:r>
    </w:p>
    <w:p>
      <w:r>
        <w:t>La Chambre de surveillance a précisé que, même si l'on avait admis que le mode de paiement de la contribution pouvait avoir une influence sur la qualification de cette contribution, le comportement du tiers débiteur devrait être qualifié d'abusif au sens de l' art. 2 CC . En effet, il a changé de mode de paiement dès réception de l'avis de saisie, en réaction à cette saisie et pour rendre plus difficile la détermination de la quotité saisissable.</w:t>
      </w:r>
    </w:p>
    <w:p>
      <w:r>
        <w:rPr>
          <w:b/>
        </w:rPr>
        <w:t>E. 4</w:t>
      </w:r>
    </w:p>
    <w:p>
      <w:r>
        <w:t>La recourante fait grief à l'autorité cantonale d'avoir violé l' art. 93 LP en qualifiant de contribution d'entretien les montants que lui verse son époux. Elle affirme que depuis presque 30 ans, celui-ci a assumé l'intégralité des charges liées à l'entretien de sa famille. Elle précise que, s'ils ne vivent pas ensemble, ils n'ont pas l'intention de divorcer et continuent d'avoir une vie de famille, aucune requête de mesures provisionnelles n'ayant d'ailleurs été déposée à ce jour. Elle admet qu'avant la saisie, son époux versait 7'500 fr. par mois sur son compte bancaire et que, " compte tenu de la saisie opérée (...) à l'automne 2013 ", tous deux ont décidé de changer les " modalités de paiement des charges courantes ", l'époux s'acquittant à nouveau personnellement des charges de l'épouse, ce qui n'aurait pas pour but de rendre plus difficile la détermination de la quotité saisissable. Tout au long de leur vie commune, ils auraient régulièrement modifié ces modalités, l'époux payant parfois directement les charges de son épouse, et lui versant d'autres fois un montant sur son compte bancaire pour qu'elle s'en acquitte elle-même. Leur organisation financière ne relèverait ni d'une convention, ni d'un jugement, ni d'un accord de quelque nature que ce soit. En définitive, la recourante soutient que seules des contributions d'entretien fixées par décision d'une autorité ou par une convention - homologuée ou non -, sous forme de prestations périodiques dont le montant est fixe, sont relativement saisissables au sens de l' art. 93 LP , l'Office des poursuites n'étant par ailleurs pas compétent pour fixer de telles contributions.</w:t>
      </w:r>
    </w:p>
    <w:p>
      <w:r>
        <w:rPr>
          <w:b/>
        </w:rPr>
        <w:t>E. 5</w:t>
      </w:r>
    </w:p>
    <w:p>
      <w:r>
        <w:t>Selon l' art. 163 CC , les époux contribuent, chacun selon ses facultés, à l'entretien de la famille (al. 1); l'entretien est dû même en cas d'absence de vie commune (Bernhard Isenring/Martin A. Kessler, in Basler Kommentar Zivilgesetzbuch, vol. I, 4e éd. 2010, n° 2 ad art. 163 CC ; Pascal Pichonnaz, in Commentaire romand, Code civil I, 2010, n° 13 ad art. 163 CC ). Les époux conviennent de la façon dont chacun apporte sa contribution ( art. 163 al. 2 CC ), c'est-à-dire de la répartition des rôles ainsi que du mode et du contenu de la contribution de chacun (Pichonnaz, op. cit., n° 42 ad art. 163 CC ). Leur accord n'est soumis à aucune forme: il peut notamment être implicite ou résulter d'actes concluants (Pichonnaz, op. cit., n° 43 ad art. 163 CC ; Isenring/Kessler, op. cit., n° 33 ad art. 163 CC ). Dans le cadre de leur accord, les époux tiennent compte des besoins de l'union conjugale et de leur situation personnelle ( art. 163 al. 3 CC ). Le principe de la concertation vaut également pour toute modification de la répartition des tâches, un conjoint pouvant, selon les circonstances, avoir un droit à la protection de sa confiance au maintien de la situation; tel est en particulier le cas en l'absence de modification objective des circonstances (Pichonnaz, op. cit., n° 49 ad art. 163 CC ).</w:t>
      </w:r>
    </w:p>
    <w:p>
      <w:r>
        <w:t>En vertu de l' art. 93 al. 1 LP , les contributions d'entretien peuvent être saisies, déduction faite de ce que le préposé estime indispensable au débiteur et à sa famille. Parmi les contributions d'entretien relativement saisissables figure notamment la contribution qui repose sur l' art. 163 CC (Michel Ochsner, in Commentaire romand, Poursuites et faillites, 2005, n° 52ad art. 93 LP ; Pierre-Robert Gilliéron, Commentaire de la loi fédérale sur la poursuites pour dettes et la faillite, vol. II, 2000, n° 67 ad art. 93 LP ), à tout le moins lorsqu'elle a été fixée par un juge ou par convention - homologuée ou non - pour un montant déterminé (Gilliéron, op. cit., n° 68 et 69 ad art. 93 LP ).</w:t>
      </w:r>
    </w:p>
    <w:p>
      <w:r>
        <w:rPr>
          <w:b/>
        </w:rPr>
        <w:t>E. 6</w:t>
      </w:r>
    </w:p>
    <w:p>
      <w:r>
        <w:t>En tant qu'elle expose ne pas avoir l'intention de divorcer, formant toujours une famille avec son époux malgré leurs domiciles séparés, la recourante oublie que ce fait, qui lie le Tribunal fédéral puisqu'il a été retenu par la juridiction précédente ( art. 105 al. 1 LTF ; cf. supra consid. 2.2), n'a pas d'influence sur l'existence du devoir d'entretien découlant de l' art. 163 CC (cf. supra consid. 5); la créance qui en découle est relativement saisissable, à tout le moins lorsqu'elle a été fixée par jugement ou par convention, dite convention n'étant soumise à aucune forme (cf. supra consid. 5).</w:t>
      </w:r>
    </w:p>
    <w:p>
      <w:r>
        <w:t>En l'occurrence, s'il est acquis qu'aucune contribution d'entretien n'a été fixée par jugement, il ressort des faits de l'arrêt entrepris que les époux ont convenu depuis plusieurs années d'avoir des résidences séparées et que l'époux continuerait d'assumer l'intégralité de l'entretien de la famille au sens de l' art. 163 CC , ce que la recourante admet et rappelle même dans son recours. Elle ne s'en prend par ailleurs pas, fût-ce à titre subsidiaire, aux constatations selon lesquelles le</w:t>
      </w:r>
    </w:p>
    <w:p>
      <w:r>
        <w:t>montant de 7'500 fr. régulièrement versé par l'époux reflète la situation économique des époux et leur niveau de vie convenu. Le fait que tout au long du mariage, les époux aient modifié plusieurs fois, d'un commun accord, les</w:t>
      </w:r>
    </w:p>
    <w:p>
      <w:r>
        <w:t>modalités de paiement des charges courantes de l'épouse, notamment ensuite de la saisie, ne saurait, en soi, avoir d'incidence sur le montant de la contribution. Enfin, la recourante ne prétend pas, ni a fortiori ne démontre, que les montants (paiement de factures et remises d'espèces) dont s'acquitte désormais personnellement pour elle son époux seraient inférieurs à 7'500 fr. par mois.</w:t>
      </w:r>
    </w:p>
    <w:p>
      <w:r>
        <w:t>Pour ces motifs, c'est à bon droit que la cour cantonale a retenu l'existence d'une convention tendant au versement d'une contribution d'entretien de 7'500 fr. par mois, partant, qu'elle a considéré cette contribution comme relativement saisissable (cf. supra consid. 5 in fine). Il n'y a dès lors pas lieu de trancher le point de savoir si l'Office serait compétent, en l'absence de tout jugement ou convention, pour fixer à titre préjudiciel le montant de la contribution.</w:t>
      </w:r>
    </w:p>
    <w:p>
      <w:r>
        <w:t>Cette considération scelle le sort du présent recours.</w:t>
      </w:r>
    </w:p>
    <w:p>
      <w:r>
        <w:rPr>
          <w:b/>
        </w:rPr>
        <w:t>E. 7</w:t>
      </w:r>
    </w:p>
    <w:p>
      <w:r>
        <w:t>En conclusion, le recours est rejeté, aux frais de la recourante ( art. 66 al. 1 LTF ). Il n'y a pas lieu d'allouer une indemnité à l'intimé, qui n'a au demeurant pas été invité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