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316/2020 vom 16. April 2021</w:t>
      </w:r>
    </w:p>
    <w:p>
      <w:r>
        <w:t>Bundesgericht, 2021-04-16, IT</w:t>
      </w:r>
    </w:p>
    <w:p>
      <w:r>
        <w:rPr>
          <w:b/>
        </w:rPr>
        <w:t xml:space="preserve">Quelle: </w:t>
      </w:r>
      <w:r>
        <w:t>https://mcp.opencaselaw.ch/entscheid/bger_5A_316_2020</w:t>
      </w:r>
    </w:p>
    <w:p>
      <w:r>
        <w:t>FR: TF 5A 316/2020 du 16 avril 2021</w:t>
      </w:r>
    </w:p>
    <w:p>
      <w:r>
        <w:t>IT: TF 5A 316/2020 del 16 aprile 2021</w:t>
      </w:r>
    </w:p>
    <w:p>
      <w:pPr>
        <w:pStyle w:val="Heading2"/>
      </w:pPr>
      <w:r>
        <w:t>Regeste</w:t>
      </w:r>
    </w:p>
    <w:p>
      <w:r>
        <w:t>Servitù di condotta | Diritti reali</w:t>
      </w:r>
    </w:p>
    <w:p>
      <w:pPr>
        <w:pStyle w:val="Heading2"/>
      </w:pPr>
      <w:r>
        <w:t>Erwägungen</w:t>
      </w:r>
    </w:p>
    <w:p>
      <w:r>
        <w:rPr>
          <w:b/>
        </w:rPr>
        <w:t>E. 1.1</w:t>
      </w:r>
    </w:p>
    <w:p>
      <w:r>
        <w:t>Il presente ricorso è rivolto contro una sentenza di ultima istanza cantonale, pronunciata su ricorso ( art. 75 cpv. 1 e 2 LTF ). Finale ( art. 90 LTF ), essa concerne una pretesa di diritto civile ( art. 72 cpv. 1 LTF ; responsabilità del proprietario di un'opera giusta l' art. 58 CO ) di carattere patrimoniale (v., fra le tante, sentenze 4A_38/2018 del 25 febbraio 2019 consid. 1; 4A_189/2018 del 6 agosto 2018 consid. 1.1), il cui valore di lite raggiunge il minimo di legge di fr. 30'000.-- ( art. 74 cpv. 1 lett. b LTF ). Introdotto da parte risultata soccombente in sede cantonale, come tale legittimata a ricorrere ( art. 76 cpv. 1 LTF ), ed entro i termini legali ( art. 100 cpv. 1 LTF in combinazione con gli art. 46 cpv. 1 lett. a LTF e con l'art. 1 dell'Ordinanza del 20 marzo 2020 sulla sospensione dei termini nei procedimenti civili e amministrativi ai fini del mantenimento della giustizia in relazione al coronavirus (COVID-19) [RS 173.110.4]), nell'ottica dei requisiti esposti il gravame appare ricevibile.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w:t>
      </w:r>
    </w:p>
    <w:p>
      <w:r>
        <w:rPr>
          <w:b/>
        </w:rPr>
        <w:t>E. 2</w:t>
      </w:r>
    </w:p>
    <w:p>
      <w:r>
        <w:t>Nel quadro dell'azione in responsabilità del proprietario di un'opera incoata dal qui ricorrente contro lo Stato del Cantone Ticino, controversa è la questione preliminare di sapere chi sia proprietario della condotta in cemento che fuoriesce dalla vasca di contenimento e che attraversa il fondo del ricorrente, dalla quale sarebbe uscita l'acqua all'origine degli asseriti danni oggetto della causa.</w:t>
      </w:r>
    </w:p>
    <w:p>
      <w:r>
        <w:rPr>
          <w:b/>
        </w:rPr>
        <w:t>E. 2.1</w:t>
      </w:r>
    </w:p>
    <w:p>
      <w:r>
        <w:t>Il proprietario di un edificio o di un'altra opera è tenuto a risarcire i danni cagionati da vizio di costruzione o da difetto di manutenzione ( art. 58 cpv. 1 CO ). Sono considerati edifici o opere simili ai sensi di questa disposizione legale costruzioni collegate con il terreno in maniera fissa (v. infra consid. 2.2). Di conseguenza, responsabile per difetti dell'opera è di regola il proprietario del fondo sul quale essa sorge. Originariamente incline a dichiarare responsabili giusta l' art. 58 CO anche altri beneficiari dell'opera ( DTF 121 III 448 consid. 2a con numerosi rimandi), la giurisprudenza è evoluta in termini restrittivi: al fine di determinare il soggetto della responsabilità ex art. 58 cpv. 1 CO fa ormai stato essenzialmente il concetto civilistico di proprietà. Eccezioni vanno considerate restrittivamente, e vanno riservate essenzialmente ai casi in cui l'ente pubblico, in virtù della sua particolare posizione, si trovi ad esercitare sull'opera delle prerogative assimilabili alla proprietà: soltanto allora si giustifica trattarlo alla stregua di un proprietario ( DTF 121 III 448 consid. 2d; sentenza 4A_189/2018 del 6 agosto 2018 consid. 4.2.2).</w:t>
      </w:r>
    </w:p>
    <w:p>
      <w:r>
        <w:rPr>
          <w:b/>
        </w:rPr>
        <w:t>E. 2.2</w:t>
      </w:r>
    </w:p>
    <w:p>
      <w:r>
        <w:t>Ove taluno adoperi materiale altrui per costruire sul proprio fondo, o materiale proprio per costruire sul fondo altrui, il materiale diventa parte costitutiva del fondo ( art. 671 cpv. 1 CC ). Mediante questa formula il legislatore ha espresso il principio secondo il quale tutto ciò che viene combinato in modo fisso e duraturo con il fondo ne diviene parte costitutiva e, di conseguenza, proprietà del proprietario del fondo ( art. 641 cpv. 1 CC ). La legge prevede eccezioni per condotte: le condotte di allacciamento che si trovano fuori del fondo a cui servono fanno parte dell'impianto da cui provengono o a cui conducono e appartengono al proprietario di questo, salvo disposizione contraria ( art. 676 cpv. 1 CC ), a condizione tuttavia che il fondo serviente sia gravato con una corrispondente servitù ( art. 676 cpv. 2 CC ) basata su un accordo scritto ( DTF 97 II 326 consid. 4; Rey/Strebel, in Basler Kommentar, Zivilgesetzbuch, vol. II, 6aed. 2019, n. 15 [per l'accordo con costituzione di proprietà a favore del proprietario dell'opera] risp. n. 16 seg. [per la mera servitù di condotta] ad art. 676 CC ). La servitù nasce con la costruzione della condotta se questa è riconoscibile esteriormente. In caso contrario essa nasce con l'iscrizione nel registro fondiario ( art. 676 cpv. 3 CC ; DTF 121 III 448 consid. 3b con rimandi).</w:t>
      </w:r>
    </w:p>
    <w:p>
      <w:r>
        <w:rPr>
          <w:b/>
        </w:rPr>
        <w:t>E. 3</w:t>
      </w:r>
    </w:p>
    <w:p>
      <w:r>
        <w:t>Il Tribunale di appello, richiamate e confermate per l'essenziale le considerazioni del Pretore aggiunto, ha ribadito che anche in presenza di una condotta riconoscibile esteriormente, la servitù deve essere sorretta da un accordo scritto tra le parti. In proposito, ha constatato che il qui ricorrente non aveva contestato la giurisprudenza e che, in fatto, di un accordo scritto non vi era traccia. Contrariamente a quanto sostenuto dal ricorrente, l'accordo non poteva sorgere per atti concludenti, nemmeno in considerazione dei mezzi stanziati dal Cantone, nell'evenienza concret a, per i lavori di rinforzo del muro di sostegno stradale e per la copertura della vasca di contenimento sita sul suo fondo: a detta dei Giudici cantonali, un simile accordo deve essere tassativamente espresso, nella forma scritta dell'atto pubblico. In assenza di un tale accordo, non può essere data una proprietà della condotta diversa da quella del titolare del fondo in cui la condotta si trova, in virtù del principio dell'accessione ( art. 667 cpv. 2 CC ).</w:t>
      </w:r>
    </w:p>
    <w:p>
      <w:r>
        <w:rPr>
          <w:b/>
        </w:rPr>
        <w:t>E. 4.1</w:t>
      </w:r>
    </w:p>
    <w:p>
      <w:r>
        <w:t>Avanti al Tribunale federale, il ricorrente esordisce con una dettagliata esposizione dei fatti dal suo punto di vista. Non accompagnate da una censura di arbitrario accertamento dei fatti ( supra consid. 1.3), le relative considerazioni non saranno prese in esame.</w:t>
      </w:r>
    </w:p>
    <w:p>
      <w:r>
        <w:rPr>
          <w:b/>
        </w:rPr>
        <w:t>E. 4.2</w:t>
      </w:r>
    </w:p>
    <w:p>
      <w:r>
        <w:t>In diritto, il ricorrente rimprovera ai Giudici cantonali in primo luogo di aver lasciata irrisolta la questione a sapere se si sia in presenza di una condotta di transito - questione importante, a suo dire, poiché in caso di risposta affermativa sarebbe dimostrato l'interesse preponderante della parte opponente per l'opera. I Giudici cantonali hanno evaso la critica ritenendola " senza portata pratica", posto che il Pretore aggiunto, sebbene non convinto in fatto, aveva giustamente applicato comunque l' art. 676 cpv. 1 CC . Il ricorrente non si confronta del tutto con la motivazione del giudizio cantonale, sicché la sua censura è di primo acchito irricevibile; essa lo è inoltre anche perché egli non spiega quale ruolo il presunto preponderante interesse della parte convenuta all'utilizzo della condotta giochi nell'applicazione dell' art. 676 cpv. 1 CC .</w:t>
      </w:r>
    </w:p>
    <w:p>
      <w:r>
        <w:rPr>
          <w:b/>
        </w:rPr>
        <w:t>E. 4.3</w:t>
      </w:r>
    </w:p>
    <w:p>
      <w:r>
        <w:t>Il ricorrente torna poi sulla natura apparente (ai sensi dell' art. 676 cpv. 3 CC ) della servitù in questione. Critica il Tribunale di appello per aver negato tale caratteristica "poiché manca la sottoscrizione di un accordo scritto tra le parti". A ben guardare, i Giudici cantonali non si sono chinati sulla natura apparente o meno della canalizzazione, bensì hanno fondato il proprio giudizio sull'assenza di un qualsiasi accordo scritto: in sua assenza, la visibilità esteriore della condotta sarebbe comunque insufficiente per un'applicazione dell' art. 676 cpv. 3 CC . Avanti al Tribunale federale, il ricorrente persiste nell'affermare che il Cantone Ticino sia divenuto proprietario della condotta litigiosa " secondo il principio della buona fede e il comportamento tenuto dal convenuto nell'arco di oltre un decennio". Si richiama a giurisprudenza federale, di cui non dichiara la fonte, secondo la quale se l'iscrizione (sottinteso: di una servitù a Registro fondiario) non è chiara o manca, si deve risalire al fondamento dell'acquisizione, ovvero al contratto costitutivo della servitù; e se il titolo dell'acquisizione non è concludente, il contenuto della servitù può essere determinato anche con riferimento alla maniera nella quale la medesima è stata esercitata in buona fede durante un lasso di tempo sufficientemente lungo e senza contestazione. L'imprecisione della citazione non è di nocumento per il ricorrente, posto che il principio esposto è noto ( art. 738 cpv. 1 e 2 CC ; DTF 137 III 145 consid. 3.1; 137 III 444 consid. 2.2; 132 III 651 consid. 8; da ultimo sentenze 5A_109/2020 del 28 ottobre 2020 consid. 3.1.1; 5A_259/2019 del 29 luglio 2020 consid. 5.2). Dove il ricorrente erra, tuttavia, è che tale giurisprudenza concerne la determinazione dell'estensione e del contenuto della servitù, non la stipulazione della stessa: l'obiezione non scalfisce la correttezza del principio posto alla base della sentenza impugnata, ovvero l'imprescindibilità di un accordo scritto. Riprendendo la motivazione della sentenza impugnata, la pubblicità naturale dovuta alla presenza di una condotta riconoscibile esteriormente sostituisce il difetto di pubblicità risultante dalla mancata iscrizione a Registro fondiario, ma non la mancanza di titolo giuridico - già perché, si aggiunga qui, deve essere possibile stabilire in quale forma la servitù qui in discussione sia stata conclusa, ovvero se con o senza assunzione di proprietà delle condotte da parte del proprietario dell'opera dalla quale esse escono o nella quale esse confluiscono (v. Rey/Strebel, op. cit., n. 15 segg. ad art. 676 CC ). Gli elementi di fatto che il ricorrente richiama relativi all'investimento, anche finanziario, del Cantone Ticino nei lavori indicati ( supra consid. in fatto A.b) possono invero aver suscitato in lui il convincimento che la canalizzazione in questione fosse di proprietà dello Stato, al quale allora incombeva pure la manutenzione. Ma quand'anche ritenuta in buona fede, l'opinione del ricorrente è errata in diritto. È allora superfluo esaminare dettagliatamente il carattere probante delle circostanze da lui addotte, così come senza costrutto sarebbe soffermarsi oltre sulle condizioni della responsabilità del proprietario dell'opera ex art. 58 CO , delle misure di sicurezza a carico del medesimo ex art. 59 CO e sulla pretesa applicabilità dell'art. 54 della legge ticinese del 2 aprile 1975 d'applicazione della legge federale contro l'inquinamento delle acque circa l'obbligo di manutenzione di un impianto (RL/TI 833.100).</w:t>
      </w:r>
    </w:p>
    <w:p>
      <w:r>
        <w:rPr>
          <w:b/>
        </w:rPr>
        <w:t>E. 5</w:t>
      </w:r>
    </w:p>
    <w:p>
      <w:r>
        <w:t>Discende da quanto precede che il ricorso si appalesa infondato e va respinto nella misura della sua ricevibilità, con conseguenza di spese giudiziarie a carico del ricorrente soccombente ( art. 66 cpv. 1 LTF ). Non sono dovute ripetibili all'opponente, non incorso in spese della sede federale ( art. 68 cpv. 1 LTF 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