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313/2023 vom 2. Mai 2023</w:t>
      </w:r>
    </w:p>
    <w:p>
      <w:r>
        <w:t>Bundesgericht, 2023-05-02, DE</w:t>
      </w:r>
    </w:p>
    <w:p>
      <w:r>
        <w:rPr>
          <w:b/>
        </w:rPr>
        <w:t xml:space="preserve">Quelle: </w:t>
      </w:r>
      <w:r>
        <w:t>https://mcp.opencaselaw.ch/entscheid/bger_5A_313_2023</w:t>
      </w:r>
    </w:p>
    <w:p>
      <w:r>
        <w:t>FR: TF 5A 313/2023 du 2 mai 2023</w:t>
      </w:r>
    </w:p>
    <w:p>
      <w:r>
        <w:t>IT: TF 5A 313/2023 del 2 maggio 2023</w:t>
      </w:r>
    </w:p>
    <w:p>
      <w:pPr>
        <w:pStyle w:val="Heading2"/>
      </w:pPr>
      <w:r>
        <w:t>Regeste</w:t>
      </w:r>
    </w:p>
    <w:p>
      <w:r>
        <w:t>Zahlungsbefehl / Rechtsvorschlag | Schuldbetreibungs- und Konkursrecht</w:t>
      </w:r>
    </w:p>
    <w:p>
      <w:pPr>
        <w:pStyle w:val="Heading2"/>
      </w:pPr>
      <w:r>
        <w:t>Erwägungen</w:t>
      </w:r>
    </w:p>
    <w:p>
      <w:r>
        <w:rPr>
          <w:b/>
        </w:rPr>
        <w:t>E. 1</w:t>
      </w:r>
    </w:p>
    <w:p>
      <w:r>
        <w:t>Das Obergericht hat folgende Sachverhaltsfeststellungen getroffen: Die Beschwerdeführerin ist im Handelsregister des Kantons Zug mit der Domiziladresse "B.________strasse yy, U.________" eingetragen. Abklärungen des Betreibungsamtes vor Ort haben erheben, dass die Beschwerdeführerin dort über keine eigenen Büroräumlichkeiten verfügt. Die Zustellung des Zahlungsbefehls ist an einen Angestellten der C.________ GmbH erfolgt, der auf Anfrage des Betreibungsamtes erklärt hat, mit der Beschwerdeführerin bestehe ein Domizilvertrag. Mit E-Mail vom 27. März 2023 hat der Geschäftsführer der C.________ GmbH gegenüber dem Betreibungsamt bestätigt, dass die Vollmacht weiterhin besteht und die Post ungeöffnet an die Kunden weitergeleitet wird. All dies werde von der Beschwerdeführerin nicht bestritten. Gestützt auf diese Feststellungen hat das Obergericht erwogen, dass nach bundesgerichtlicher Rechtsprechung Dritte ausdrücklich zur Entgegennahme von Betreibungsurkunden ermächtigt werden könnten und dies auch durch Generalvollmacht möglich sei. Die Zustellung an die Beschwerdeführerin durch Übergabe an einen Angestellten der bevollmächtigten C.________ GmbH sei deshalb zulässig gewesen und am 20. Februar 2023 gültig erfolgt. Wenn sodann ein Angestellter der bevollmächtigten C.________ GmbH den Zahlungsbefehl per Einschreiben an den Gesellschafter der Beschwerdeführerin weitergeleitet, dieser aber das Einschreiben nicht abgeholt habe und deshalb die Sendung nach 7 Tagen an die C.________ GmbH zurückgegangen sei, betreffe dies die interne Organisation und habe dies auf den Fristenlauf keinen Einfluss. Die 10-tägige Frist von Art. 74 Abs. 1 SchKG habe am Tag nach der Zustellung zu laufen begonnen ( Art. 31 SchKG i.V.m. Art. 142 Abs. 1 ZPO ) und somit am 2. März 2023 geendet.</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Ferner sind neue Tatsachen und Beweismittel im bundesgerichtlichen Verfahren grundsätzlich unzulässig ( Art. 99 Abs. 1 BGG ).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Wenn die Beschwerdeführerin im bundesgerichtlichen Verfahren nunmehr behauptet, sie habe der C.________ GmbH nie eine Vollmacht erteilt und ihr diese auch wieder entzogen, wendet sie sich gegen die für das Bundesgericht verbindlichen Sachverhaltsfeststellungen, ohne dass sie diesbezüglich Willkürrügen erheben würde; vielmehr beschränkt sie sich auf eine appellatorische gegenteilige Sachverhaltsdarstellung, die überdies neu und auch aus diesem Grund unzulässig ist.</w:t>
      </w:r>
    </w:p>
    <w:p>
      <w:r>
        <w:rPr>
          <w:b/>
        </w:rPr>
        <w:t>E. 4</w:t>
      </w:r>
    </w:p>
    <w:p>
      <w:r>
        <w:t>In rechtlicher Hinsicht erneuert die Beschwerdeführerin ihr Vorbringen, der Zahlungsbefehl hätte nur an ihre eigenen Organe zugestellt werden dürfen und diese wären im Zefix zu eruieren gewesen; die Person, welche den Zahlungsbefehl entgegengenommen habe, sei kein eigener Angestellter, sondern ein solcher der C.________ GmbH. Im Übrigen habe die 10-tägige Frist zur Erhebung des Rechtsvorschlages erst zu laufen beginnen können, als die 7-tätige Abholfrist für die weitergeleitete Sendung abgelaufen sei. Diese abstrakten Vorbringen genügen den Begründungsanforderungen von Art. 42 Abs. 2 BGG nicht. Nach bundesgerichtlicher Rechtsprechung kann die Zustellung von Betreibungsurkunden an einen entsprechend Bevollmächtigten erfolgen (Urteile 5A_752/2013 vom 8. April 2014 E. 4.1; 5A_412/2016 vom 14. Oktober 2016 E. 3.1; 5A_409/2019 vom 27. Januar 2020 E. 3.2). Das Obergericht hat auf diese Rechtsprechung hingewiesen und die Beschwerdeführerin setzt sich damit nicht auseinander. Ebenso wenig setzt sie sich mit der - zutreffenden - Erwägung auseinander, dass die (ungenügende) interne Kommunikation keinen Einfluss auf den Fristenlauf hat.</w:t>
      </w:r>
    </w:p>
    <w:p>
      <w:r>
        <w:rPr>
          <w:b/>
        </w:rPr>
        <w:t>E. 5</w:t>
      </w:r>
    </w:p>
    <w:p>
      <w:r>
        <w:t>Nach dem Gesagten erweist sich die Beschwerde als offensichtlich nicht hinreichend begründet, weshalb auf sie im vereinfachten Verfahren nach Art. 108 Abs. 1 lit. b BGG nicht einzutreten ist.</w:t>
      </w:r>
    </w:p>
    <w:p>
      <w:r>
        <w:rPr>
          <w:b/>
        </w:rPr>
        <w:t>E. 6</w:t>
      </w:r>
    </w:p>
    <w:p>
      <w:r>
        <w:t>Bei diesem Verfahrensausgang sind die Gerichtskosten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