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313/2019 vom 7. Dezember 2020</w:t>
      </w:r>
    </w:p>
    <w:p>
      <w:r>
        <w:t>Bundesgericht, 2020-12-07, DE</w:t>
      </w:r>
    </w:p>
    <w:p>
      <w:r>
        <w:rPr>
          <w:b/>
        </w:rPr>
        <w:t xml:space="preserve">Quelle: </w:t>
      </w:r>
      <w:r>
        <w:t>https://mcp.opencaselaw.ch/entscheid/bger_5A_313_2019</w:t>
      </w:r>
    </w:p>
    <w:p>
      <w:r>
        <w:t>FR: TF 5A 313/2019 du 7 décembre 2020</w:t>
      </w:r>
    </w:p>
    <w:p>
      <w:r>
        <w:t>IT: TF 5A 313/2019 del 7 dicembre 2020</w:t>
      </w:r>
    </w:p>
    <w:p>
      <w:pPr>
        <w:pStyle w:val="Heading2"/>
      </w:pPr>
      <w:r>
        <w:t>Regeste</w:t>
      </w:r>
    </w:p>
    <w:p>
      <w:r>
        <w:t>Vorsorgliche Massnahmen (Kindesunterhalt) | Familienrecht</w:t>
      </w:r>
    </w:p>
    <w:p>
      <w:pPr>
        <w:pStyle w:val="Heading2"/>
      </w:pPr>
      <w:r>
        <w:t>Erwägungen</w:t>
      </w:r>
    </w:p>
    <w:p>
      <w:r>
        <w:rPr>
          <w:b/>
        </w:rPr>
        <w:t>E. 1</w:t>
      </w:r>
    </w:p>
    <w:p>
      <w:r>
        <w:t>Angefochten ist der kantonal letztinstanzliche Endentscheid betreffend Festsetzung des Kindesunterhaltes; die Beschwerde in Zivilsachen ist gegeben ( Art. 72 Abs. 1, Art. 74 Abs. 1 lit. b, Art. 75 Abs. 1 und Art. 90 BGG ). Da es sich um eine vorsorgliche Massnahme handelt, kann nur die Verletzung verfassungsmässiger Rechte gerügt werden ( Art. 98 BGG ), wofür das strenge Rügeprinzip gilt.</w:t>
      </w:r>
    </w:p>
    <w:p>
      <w:r>
        <w:rPr>
          <w:b/>
        </w:rPr>
        <w:t>E. 2</w:t>
      </w:r>
    </w:p>
    <w:p>
      <w:r>
        <w:t>Das Kantonsgericht stellte fest, dass das Einkommen des Vaters netto Fr. 7'200.-- und dessen Bedarf (im Sinn des familienrechtlichen Existenzminimums) Fr. 3'691.-- betrage, während sich derjenige der Mutter auf Fr. 3'498.-- belaufe, dies bei einem Nettoeinkommen von Fr. 3'800.--. Bei C.________ betrage das Einkommen Fr. 200.-- (Kinderzulage) und der Bedarf Fr. 1'030.--. Unter Anwendung der Methode der Berechnung des (familienrechtlichen) Existenzminimums mit Überschussverteilung nach grossen und kleinen Köpfen errechnete das Kantonsgericht Überschussanteile von je Fr. 1'192.-- für die Eltern und Fr. 596.-- für C.________. Zur Begründung verwies es im Wesentlichen auf sein am gleichen Tag erlassenes Urteil betreffend die Scheidungsnebenfolgen (dazu Urteil 5A_311/2019 vom 11. November 2020). Sodann erwog es, ausgehend von den konkreten Einkommen (Mutter Fr. 3'800.-- bei 60 % und Vater Fr. 7'200.-- bei 100 %) und den Bedarfszahlen (Mutter Fr. 3'498.-- und Vater Fr. 3'691.--) könne die Mutter vergleichsweise nicht als leistungsfähig angesehen werden, weshalb sie dem unter der Obhut des Vaters stehenden Kind keinen Unterhalt schulde, sondern der Vater selbst für dieses aufkommen müsse.</w:t>
      </w:r>
    </w:p>
    <w:p>
      <w:r>
        <w:rPr>
          <w:b/>
        </w:rPr>
        <w:t>E. 3</w:t>
      </w:r>
    </w:p>
    <w:p>
      <w:r>
        <w:t>Der Beschwerdeführer sieht Art. 29 Abs. 2 BV , Art. 30 Abs. 1 BV und insbesondere Art. 9 BV verletzt.</w:t>
      </w:r>
    </w:p>
    <w:p>
      <w:r>
        <w:rPr>
          <w:b/>
        </w:rPr>
        <w:t>E. 3.1</w:t>
      </w:r>
    </w:p>
    <w:p>
      <w:r>
        <w:t>Was die Sachverhaltsfeststellungen in Bezug auf das Einkommen und den Bedarf sowie die rechtlichen Schlussfolgerungen anbelangt, wonach eine längere Übergangsfrist einzuräumen sei und eine Vollzeitstelle erst ab Januar 2020 zugemutet werden könne, werden inhaltlich die gleichen Vorbringen erhoben wie im parallelen Verfahren 5A_311/2019 betreffend die Scheidung. Entsprechend kann auf das Urteil 5A_311/2019 E. 3 vom 11. November 2020 verwiesen werden, wonach in Bezug auf die Sachverhaltsfeststellung keine Verfassungsverletzung und im Zusammenhang mit der gewährten Übergangsfrist keine unsachgemässe Ermessensausübung vorliegt, womit für das vorliegende Verfahren gleichzeitig gesagt ist, dass betreffend Übergangsfrist umso weniger von einer willkürlichen Rechtsanwendung auszugehen ist.</w:t>
      </w:r>
    </w:p>
    <w:p>
      <w:r>
        <w:rPr>
          <w:b/>
        </w:rPr>
        <w:t>E. 3.2</w:t>
      </w:r>
    </w:p>
    <w:p>
      <w:r>
        <w:t>Was sodann die konkrete Unterhaltsfestsetzung anbelangt, kann auf die Ausführungen im Urteil 5A_311/2019 E. 8.1 und 8.2 verwiesen werden, wonach der Kindesunterhalt grundsätzlich durch den nicht obhutsberechtigten Elternteil - vorliegend somit die Mutter - zu tragen ist, jedoch bei grossem Leistungsgefälle von diesem Grundsatz abgewichen werden kann. Vorliegend besteht für die zur Debatte stehende Zeit ein grosses Leistungsgefälle, verfügt doch der Vater selbst dann, wenn er den Unterhalt von C.________ allein tragen muss, immer noch über einen erheblich grösseren Überschuss als die Mutter. Vor diesem Hintergrund hält es angesichts des marginalen Überschusses der Mutter vor dem Willkürverbot stand, wenn diese im Rahmen der vorsorglichen Massnahmen zu gar keinem Unterhaltsbeitrag verpflichtet wurde, zumal es sich dabei um eine sehr beschränkte vorübergehende Zeit (nämlich die wenigen Monate von August 2018 bis Februar 2019, vgl. Urteil 5A_311/2019 E. 8.5 und Dispositiv Ziff. 1) und nicht um eine auf Dauer angelegte Regelung handelt.</w:t>
      </w:r>
    </w:p>
    <w:p>
      <w:r>
        <w:rPr>
          <w:b/>
        </w:rPr>
        <w:t>E. 4</w:t>
      </w:r>
    </w:p>
    <w:p>
      <w:r>
        <w:t>Zusammenfassend ergibt sich, dass die Beschwerde abzuweisen ist, soweit darauf einzutreten ist. Demnach wird der Vater kosten- und entschädigungspflichtig ( Art. 66 Abs. 1 und Art. 68 Abs. 2 BGG ). Das Gesuch der Mutter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