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312/2023 vom 30. April 2024</w:t>
      </w:r>
    </w:p>
    <w:p>
      <w:r>
        <w:t>Bundesgericht, 2024-04-30, FR</w:t>
      </w:r>
    </w:p>
    <w:p>
      <w:r>
        <w:rPr>
          <w:b/>
        </w:rPr>
        <w:t xml:space="preserve">Quelle: </w:t>
      </w:r>
      <w:r>
        <w:t>https://mcp.opencaselaw.ch/entscheid/bger_5A_312_2023</w:t>
      </w:r>
    </w:p>
    <w:p>
      <w:r>
        <w:t>FR: TF 5A 312/2023 du 30 avril 2024</w:t>
      </w:r>
    </w:p>
    <w:p>
      <w:r>
        <w:t>IT: TF 5A 312/2023 del 30 aprile 2024</w:t>
      </w:r>
    </w:p>
    <w:p>
      <w:pPr>
        <w:pStyle w:val="Heading2"/>
      </w:pPr>
      <w:r>
        <w:t>Regeste</w:t>
      </w:r>
    </w:p>
    <w:p>
      <w:r>
        <w:t>divorce (contribution d'entretien)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Le recourant, qui a pris part à la procédure devant l'autorité précédente et qui a un intérêt digne de protection à l'annulation ou la modification de la décision querellée, a en outre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148 V 174 consid. 2.2;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 Ne remplissant pas les conditions susmentionnées (cf. infra consid. 3.2 in fine), la pièce n° 3 produite par le recourant à l'appui du présent recours, comprenant des décomptes de chômage datés de décembre 2022, janvier 2023, février 2023, mars 2023 et avril 2023 doit être écartée.</w:t>
      </w:r>
    </w:p>
    <w:p>
      <w:r>
        <w:rPr>
          <w:b/>
        </w:rPr>
        <w:t>E. 3</w:t>
      </w:r>
    </w:p>
    <w:p>
      <w:r>
        <w:t>Le recourant se plaint d'une violation de l' art. 125 CC , considérant que la cour cantonale a retenu à tort que le mariage était " lebensprägend ".</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138 III 289 consid. 11.1.2). La détermination de la contribution d'entretien est laissée, pour une part importante, à l'appréciation du juge du fait, qui applique les règles du droit et de l'équité ( art. 4 CC ; ATF 148 III 161 consid. 4.1; 134 III 577 consid. 4; arrêt 5A_397/2022 du 17 mai 2023 consid. 7.3).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 art. 125 al. 2 ch. 3 CC ;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 ATF 148 III 161 consid. 4.1; 147 III 249 consid. 3.4.1 et les références). Lorsqu'en revanche le mariage n'a pas eu d'influence sur les conditions d'existence, il faut se référer à la situation antérieure au mariage et replacer de ce fait l'époux créancier dans la situation qui serait la sienne si le mariage n'avait pas été conclu ( ATF 148 III 161 consid. 5.1; 147 III 249 consid. 3.4.1).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 ATF 147 III 249 consid. 3.4.2). Autrement dit, elles n'ont pas de valeur absolue et doivent être relativisées ( ATF 148 III 161 consid. 4.2).</w:t>
      </w:r>
    </w:p>
    <w:p>
      <w:r>
        <w:rPr>
          <w:b/>
        </w:rPr>
        <w:t>E. 3.2</w:t>
      </w:r>
    </w:p>
    <w:p>
      <w:r>
        <w:t>En l'espèce, il résulte des faits constatés qu'au moment du dépôt de l'action en divorce de l'épouse, consécutive à l'arrestation du mari, la vie commune avait duré près de quarante ans, quatre enfants étant en outre issus de cette union. L'impact décisif du mariage ne peut certes pas être automatiquement déduit de ces éléments, l'entretien après le divorce devant bien plutôt respecter l'ensemble des critères énumérés de façon non exhaustive à l' art. 125 al. 2 CC (cf. ATF 148 III 161 consid. 4.2 et l'arrêt cité). Cela étant, l'arrêt entrepris retient que, durant la vie commune, le mari a toujours exercé une activité lucrative à plein temps, tandis que l'épouse n'a travaillé à 90-100% que pendant les dernières années du mariage (jusqu'en 2019 lorsqu'elle a dû se faire opérer du genou) et qu'elle n'a jamais cotisé à la prévoyance professionnelle. Dans ces circonstances, et vu le pouvoir d'appréciation dont dispose le juge du fait en la matière, il paraît ainsi conforme au droit fédéral de considérer que le mariage a eu une influence concrète sur les conditions d'existence de l'intimée, qui s'est de toute évidence consacrée durant de nombreuses années à la tenue du ménage et à l'éducation des quatre enfants du couple. De toute manière, lorsque le mariage n'a pas eu d'influence concrète sur les conditions de vie des époux, le conjoint qui a renoncé à son indépendance économique pendant celui-ci a en quelque sorte droit à la réparation du préjudice causé par le mariage (" Eheschaden "), qui correspond, dans la terminologie de la responsabilité contractuelle, à la réparation de l'intérêt négatif (cf. supra consid. 3.1). Or, il n'apparaît pas que la contribution d'entretien d'un montant mensuel de 1'180 fr. (déficit de l'épouse: 820 fr. + [solde du mari: 1'540 fr. - déficit: 820 fr.] / 2) allouée à l'intimée jusqu'à ce que le recourant ait atteint l'âge légal de la retraite, à savoir jusqu'en 2026, couvrirait plus que la différence avec le gain que celle-ci aurait pu réaliser si elle ne s'était pas mariée (cf. STOUDMANN, Le divorce en pratique, 2ème éd., 2023, p. 338 s.). Se plaignant d'établissement manifestement inexact des faits, le recourant se borne pour le surplus à soutenir que ses indemnités de chômage ne s'élèvent pas à 3'850 fr., mais à 3'098 fr. 80 en moyenne, de sorte que son solde disponible serait de 788 fr. 80. La pièce n° 3 sur laquelle il fonde cette allégation ayant été déclarée irrecevable (cf. supra consid. 2.3), le revenu pris en considération par l'autorité cantonale - qui a constaté que l'intéressé n'avait pas produit les décomptes de chômage annoncés dans l'appel, de sorte qu'il y avait lieu de tenir compte d'indemnités journalières correspondant en l'occurrence à 70% du gain assuré (70% de 5'500 fr. = 3'850 fr.) -, n'apparaît pas arbitraire.</w:t>
      </w:r>
    </w:p>
    <w:p>
      <w:r>
        <w:rPr>
          <w:b/>
        </w:rPr>
        <w:t>E. 4</w:t>
      </w:r>
    </w:p>
    <w:p>
      <w:r>
        <w:t>En définitive, le recours se révèle mal fondé et doit par conséquent être rejeté, en tant qu'il est recevable. Dès lors que ses conclusions étaient d'emblée vouées à l'échec, la requête d'assistance judiciaire du recourant ne peut être agréée ( art. 64 LTF ). Celui-ci supportera dès lors les frais judiciaires et versera en outre des dépens à l'intimée ( art. 68 al. 1 et 2 LTF ), dont la requête d'assistance judiciaire devient ainsi en principe sans objet. Il convient toutefois d'y donner suite et de prévoir l'indemnisation de son mandataire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