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5A_312/2017 vom 1. Juni 2017</w:t>
      </w:r>
    </w:p>
    <w:p>
      <w:r>
        <w:t>Bundesgericht, 2017-06-01, DE</w:t>
      </w:r>
    </w:p>
    <w:p>
      <w:r>
        <w:rPr>
          <w:b/>
        </w:rPr>
        <w:t xml:space="preserve">Quelle: </w:t>
      </w:r>
      <w:r>
        <w:t>https://mcp.opencaselaw.ch/entscheid/bger_5A_312_2017</w:t>
      </w:r>
    </w:p>
    <w:p>
      <w:r>
        <w:t>FR: TF 5A_312/2017 du 1 juin 2017</w:t>
      </w:r>
    </w:p>
    <w:p>
      <w:r>
        <w:t>IT: TF 5A_312/2017 del 1 giugno 2017</w:t>
      </w:r>
    </w:p>
    <w:p>
      <w:pPr>
        <w:pStyle w:val="Heading2"/>
      </w:pPr>
      <w:r>
        <w:t>Erwägungen</w:t>
      </w:r>
    </w:p>
    <w:p>
      <w:r>
        <w:rPr>
          <w:b/>
        </w:rPr>
        <w:t>E. 1</w:t>
      </w:r>
    </w:p>
    <w:p>
      <w:r>
        <w:t>Angefochten ist der kantonal letztinstanzliche Entscheid betreffend eine Schuldneranweisung ( Art. 72 Abs. 1 und Art. 75 Abs. 1 BGG ) mit einem Fr. 30'000.-- übersteigenden Streitwert (Art. 51 Abs. 4 i.V.m. Art. 74 Abs. 1 lit. b BGG ). Die Beschwerde in Zivilsachen steht somit grundsätzlich offen.</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Der Beschwerdeführer macht geltend, seit zehn Jahren werde er von der Alimentenfachstelle betrieben und er habe mehrmals mit dieser Kontakt aufgenommen, um zu erklären, dass er Alimente bezahle, sobald er genug verdiene. Wegen der Betreibungen und Strafanzeige bzw. wegen des angefochtenen Urteils könne er keine neue Stelle finden, mit welcher er mehr verdiene als mit der aktuellen. Er werde aber die Alimente immer pünktlich überweisen.</w:t>
      </w:r>
    </w:p>
    <w:p>
      <w:r>
        <w:t>In diesen Ausführungen liegt keine genügende Auseinandersetzung mit dem angefochtenen Entscheid. Die kantonalen Instanzen haben die Voraussetzungen der Schuldneranweisung dargelegt und ausgeführt, dass und inwiefern sie vorliegend gegeben sind. Der Beschwerdeführer müsste dartun, inwieweit vor dem Hintergrund dieser Erwägungen die Anordnung der Schuldneranweisung Recht verletzen soll.</w:t>
      </w:r>
    </w:p>
    <w:p>
      <w:r>
        <w:rPr>
          <w:b/>
        </w:rPr>
        <w:t>E. 3</w:t>
      </w:r>
    </w:p>
    <w:p>
      <w:r>
        <w:t>Nach dem Gesagten erweist sich die Beschwerde als unzureichend begründet, weshalb auf sie nicht eingetreten werden kann und der Präsident im Verfahren nach Art. 108 Abs. 1 lit. b BGG entscheidet.</w:t>
      </w:r>
    </w:p>
    <w:p>
      <w:r>
        <w:rPr>
          <w:b/>
        </w:rPr>
        <w:t>E. 4</w:t>
      </w:r>
    </w:p>
    <w:p>
      <w:r>
        <w:t>Angesichts der konkreten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