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30/2023 vom 8. Dezember 2023</w:t>
      </w:r>
    </w:p>
    <w:p>
      <w:r>
        <w:t>Bundesgericht, 2023-12-08, DE</w:t>
      </w:r>
    </w:p>
    <w:p>
      <w:r>
        <w:rPr>
          <w:b/>
        </w:rPr>
        <w:t xml:space="preserve">Quelle: </w:t>
      </w:r>
      <w:r>
        <w:t>https://mcp.opencaselaw.ch/entscheid/bger_5A_30_2023</w:t>
      </w:r>
    </w:p>
    <w:p>
      <w:r>
        <w:t>FR: TF 5A 30/2023 du 8 décembre 2023</w:t>
      </w:r>
    </w:p>
    <w:p>
      <w:r>
        <w:t>IT: TF 5A 30/2023 del 8 dicembre 2023</w:t>
      </w:r>
    </w:p>
    <w:p>
      <w:pPr>
        <w:pStyle w:val="Heading2"/>
      </w:pPr>
      <w:r>
        <w:t>Regeste</w:t>
      </w:r>
    </w:p>
    <w:p>
      <w:r>
        <w:t>Zahlungsbefehl | Schuldbetreibungs- und Konkursrecht</w:t>
      </w:r>
    </w:p>
    <w:p>
      <w:pPr>
        <w:pStyle w:val="Heading2"/>
      </w:pPr>
      <w:r>
        <w:t>Erwägungen</w:t>
      </w:r>
    </w:p>
    <w:p>
      <w:r>
        <w:rPr>
          <w:b/>
        </w:rPr>
        <w:t>E. 1.1</w:t>
      </w:r>
    </w:p>
    <w:p>
      <w:r>
        <w:t>Entscheide kantonaler Aufsichtsbehörden in Schuldbetreibungs- und Konkurssachen unterliegen unabhängig eines Streitwertes und ihrer Bezeichnung der Beschwerde in Zivilsachen ( Art. 19 SchKG i.V.m. Art. 72 Abs. 2 lit. a, Art. 74 Abs. 2 lit. c und Art. 75 Abs. 1 BGG ). Die Beschwerde gegen die Zustellung des Zahlungsbefehls ist fristgerecht erhoben worden und unter Vorbehalt hinreichender Begründung zulässig. Keine Beachtung können die Erörterungen der Beschwerdeführerin in ihren Ergänzungseingaben finden, welche erst nach Ablauf der Beschwerdefrist erfolgten.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Der von der Beschwerdeführerin beanstandete Zahlungsbefehl weist nach den vorinstanzlichen Feststellungen den Stempel des Betreibungsamtes Zug und eine eingescannte Unterschrift der Leiterin des Betreibungsamtes auf. Die Beschwerdeführerin bringt vor, dass die Unterschrift den Vorgaben von Art. 6 der Verordnung vom 5. Juni 1996 über die im Betreibungs- und Konkursverfahren zu verwendenden Formulare und Register sowie die Rechnungsführung (VFRR; SR 281.31) nicht genüge und von der Vorinstanz daher als unverbindlicher Entwurf hätte betrachtet werden müssen. Der Wortlaut des Verordnungsartikels sei klar. Entweder sei eine eigenhändige Unterschrift zu leisten oder ein physischer Stempel zu nutzen. Die Rüge erweist sich als unbegründet. Gemäss Art. 69 Abs. 1 SchKG erlässt das Betreibungsamt nach Empfang des Betreibungsbegehrens den Zahlungsbefehl. Art. 6 VFRR bestimmt, dass die Formulare - zu denen auch der Zahlungsbefehl gehört - von den nach den kantonalen Vorschriften hierzu befugten Beamten oder Angestellten des Betreibungs- bzw. Konkursamts zu unterzeichnen sind und dabei Faksimilestempel verwendet werden dürfen. Dabei meint der Begriff des "Stempels" nicht nur einen unter Verwendung eines Stempelwerkzeuges manuell angebrachten Stempel. Die Zulassung von Faksimilestempeln in Art. 6 VFRR bezieht sich vielmehr auch auf digitalisierte Unterschriften (Urteil 5A_873/2022 vom 23. Januar 2023 E. 2.3). Damit in Einklang steht die Weisung der Dienststelle Oberaufsicht für Schuldbetreibung und Konkurs Nr. 3 bezüglich Zahlungsbefehl 2016 und weitere Formulare, welche ebenfalls vorsieht, dass anstelle der eigenhändigen Unterschrift eines hierzu befugten Beamten oder Angestellten des Betreibungsamts eine Faksimileunterschrift zulässig ist (Ziff. 21). Zu Recht hat die Vorinstanz daher festgehalten, dass die Faksimileunterschrift auf dem Zahlungsbefehl nicht mit einem physischen Stempel angebracht werden muss, sondern - was heutzutage die Regel ist - auch digital erstellt und dann ausgedruckt werden kann.</w:t>
      </w:r>
    </w:p>
    <w:p>
      <w:r>
        <w:rPr>
          <w:b/>
        </w:rPr>
        <w:t>E. 3</w:t>
      </w:r>
    </w:p>
    <w:p>
      <w:r>
        <w:t>Unbehelflich bzw. rein appellatorischer Natur ist die Behauptung der Beschwerdeführerin, es bestehe eine "massive Abweichung" der aufgedruckten Unterschrift der Amtsvorsteherin zur handschriftlichen Version. Solches hat die Vorinstanz nicht festgestellt und wird auch aufgrund des von der Beschwerdeführerin angeregten Vergleichs mit der von der Amtsvorsteherin angebrachten eigenhändigen Unterschrift auf der im vorinstanzlichen Verfahren eingereichten Stellungnahme des Betreibungsamts vom 3. November 2022 nicht erkennbar. Der erstmals vor Bundesgericht gestellte Beweisantrag auf Beizug aktueller Ausweispapiere der Amtsvorsteherin erweist sich als überflüssig und ist nach Art. 99 Abs. 1 BGG ohnehin unzulässig.</w:t>
      </w:r>
    </w:p>
    <w:p>
      <w:r>
        <w:rPr>
          <w:b/>
        </w:rPr>
        <w:t>E. 4</w:t>
      </w:r>
    </w:p>
    <w:p>
      <w:r>
        <w:t>Weiter zweifelt die Beschwerdeführerin die Legitimation der Amtsvorsteherin bzw. des Betreibungsamtes Zug insgesamt an. Weil der Beamtenstatus abgeschafft worden sei, Art. 2 Abs. 1 SchKG aber vorsehe, dass jedes Betreibungsamt von einem Betreibungsbeamten geleitet werde, seien alle Amtshandlungen des Betreibungsamtes als nichtig zu betrachten. Auch diese Ausführungen sind untauglich, die offensichtlich zutreffende Einschätzung der Vorinstanz in Frage zu stellen. Die Tätigkeit des Amtsvorstehers gemäss Art. 2 Abs. 1 SchKG wird durch das Gesetz sowie durch Wahl oder Ernennung legitimiert. Er übt die Amtsleitung aus - auch ohne den Status eines Beamten (vgl. Urteile 5A_873/2022 vom 23. Januar 2023 E. 3; 1C_38/2023 vom 26. Januar 2023 E. 2.2).</w:t>
      </w:r>
    </w:p>
    <w:p>
      <w:r>
        <w:rPr>
          <w:b/>
        </w:rPr>
        <w:t>E. 5</w:t>
      </w:r>
    </w:p>
    <w:p>
      <w:r>
        <w:t>Aus den dargelegten Gründen ist die Beschwerde abzuweisen, soweit darauf einzutreten ist.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