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5A_30/2013 vom 7. Mai 2013</w:t>
      </w:r>
    </w:p>
    <w:p>
      <w:r>
        <w:t>Bundesgericht, 2013-05-07, DE</w:t>
      </w:r>
    </w:p>
    <w:p>
      <w:r>
        <w:rPr>
          <w:b/>
        </w:rPr>
        <w:t xml:space="preserve">Quelle: </w:t>
      </w:r>
      <w:r>
        <w:t>https://mcp.opencaselaw.ch/entscheid/bger_5A_30_2013</w:t>
      </w:r>
    </w:p>
    <w:p>
      <w:r>
        <w:t>FR: TF 5A_30/2013 du 7 mai 2013</w:t>
      </w:r>
    </w:p>
    <w:p>
      <w:r>
        <w:t>IT: TF 5A_30/2013 del 7 maggio 2013</w:t>
      </w:r>
    </w:p>
    <w:p>
      <w:pPr>
        <w:pStyle w:val="Heading2"/>
      </w:pPr>
      <w:r>
        <w:t>Erwägungen</w:t>
      </w:r>
    </w:p>
    <w:p>
      <w:r>
        <w:rPr>
          <w:b/>
        </w:rPr>
        <w:t>E. 1</w:t>
      </w:r>
    </w:p>
    <w:p>
      <w:r>
        <w:t>Gegen Entscheide der oberen Aufsichtsbehörde in Schuldbetreibungs- und Konkurssachen steht streitwertunabhängig die Beschwerde in Zivilsachen offen ( Art. 72 Abs. 2 lit. a, Art. 74 Abs. 2 lit. c und Art. 75 Abs. 1 BGG ). Die vorliegende Eingabe ist innert Frist erfolgt ( Art. 100 Abs. 2 lit. a BGG ).</w:t>
      </w:r>
    </w:p>
    <w:p>
      <w:r>
        <w:t>Der Beschwerdeführer gibt bekannt, zufolge amtlicher Publikation die obergerichtliche Entscheidbegründung nicht zu kennen, weshalb er die Ausführungen in der kantonalen Beschwerde wiederhole. Insofern stellt sich die Frage, ob auf die Beschwerde überhaupt eingetreten werden kann, weil sich der Beschwerdeführer wenigstens kurz mit den konkreten Erwägungen des oberinstanzlichen Entscheides auseinandersetzen muss (Art. 42 Abs. 2 i.V.m. Art. 75 Abs. 1 BGG ). Vorliegend verhält es sich so, dass die Begründungslinie der unteren und der oberen Aufsichtsbehörde weitestgehend identisch ist; insofern erscheint die Beschwerdegründung, obwohl sie sich eigentlich auf den erstinstanzlichen Entscheid bezieht, dennoch als topisch, weshalb darauf einzutreten ist.</w:t>
      </w:r>
    </w:p>
    <w:p>
      <w:r>
        <w:rPr>
          <w:b/>
        </w:rPr>
        <w:t>E. 2</w:t>
      </w:r>
    </w:p>
    <w:p>
      <w:r>
        <w:t>Der Beschwerdeführer macht geltend, in der Schweiz bestehe kein Spezialdomizil und er habe während des ganzen Verfahrens in Liechtenstein Wohnsitz gehabt. Die Zuständigkeitsordnung müsse eingehalten werden und gemäss Art. 22 SchKG sei die Nichtigkeit einer Verfügung von Amtes wegen festzustellen, und zwar unabhängig von Beschwerdefristen. Das Argument, durch die Pfändung seien keine Drittinteressen betroffen, gehe fehl, weil nach bundesgerichtlicher Rechtsprechung bereits die Möglichkeit der Beeinträchtigung von Drittinteressen genüge, um eine nicht am Wohnsitz erlassene Pfändungsankündigung nichtig zu machen. Vorliegend sei es gerade nicht so, dass keine potenziellen Gläubiger vorhanden seien, denn seine Konsortialpartner wie auch der Kanton Wallis seien im Zusammenhang mit dem noch nicht abgeschlossenen Tunnelbauvorhaben wie auch der künftigen Liquidation der einfachen Gesellschaft potenzielle Gläubiger, die sich gemäss Art. 50 Abs. 1 SchKG auf einen schweizerischen Betreibungsort berufen könnten, weil das Konsortium und damit auch er in der Schweiz eine Geschäftsniederlassung besitze. Deshalb seien sowohl der Zahlungsbefehl als auch die Pfändungsankündigung und der Pfändungsvollzug nichtig.</w:t>
      </w:r>
    </w:p>
    <w:p>
      <w:r>
        <w:rPr>
          <w:b/>
        </w:rPr>
        <w:t>E. 3</w:t>
      </w:r>
    </w:p>
    <w:p>
      <w:r>
        <w:t>Keine Nichtigkeit ist gegeben, wenn ein örtlich unzuständiges Betreibungsamt den Zahlungsbefehl ausgestellt hat; dieser Akt ist zwar anfechtbar, aber die Beschwerdeführung muss fristgerecht erfolgen ( BGE 96 III 89 E. 2 S. 92; Urteil 7B.100/2003 vom 18. Juli 2003 E. 1.2).</w:t>
      </w:r>
    </w:p>
    <w:p>
      <w:r>
        <w:t>Zu unterscheiden ist im Zusammenhang mit der Pfändungsankündigung bzw. dem Pfändungsvollzug: Im Binnenverhältnis ist die Pfändung durch ein örtlich unzuständiges Amt grundsätzlich nichtig, weil die Interessen von Drittgläubigern betroffen sind, die sich der Pfändung gemäss Art. 110 oder 111 SchKG anschliessen können; solche Drittinteressen bestehen nicht, wo der Schuldner im Ausland wohnt und dort betrieben werden müsste, weil die Anschlussrechte anderer Gläubiger bei einer Pfändung im Ausland ausser Betracht fallen ( BGE 105 III 60 E. 1 S. 61 m.w.H.; Urteil 7B.165/2002 vom 5. November 2002 E. 3.1 a.E.). Genau dies trifft vorliegend zu: der Beschwerdeführer hat Wohnsitz in Liechtenstein.</w:t>
      </w:r>
    </w:p>
    <w:p>
      <w:r>
        <w:t>Soweit der Beschwerdeführer behauptet, potenzielle Gläubiger mit möglichen zukünftigen Forderungen zu haben, die ihn trotz Auslandwohnsitzes in der Schweiz betreiben könnten, so beschlägt dies den Sachverhalt. Diesbezüglich fehlt es an entsprechenden Feststellungen im angefochtenen Entscheid, die für das Bundesgericht grundsätzlich verbindlich sind ( Art. 105 Abs. 1 BGG ), und der Beschwerdeführer bringt diesbezüglich auch keine Sachverhaltsrügen vor (Art. 97 Abs. 1 i.V.m. Art. 106 Abs. 2 BGG ), weshalb sich die Behauptung als neu und damit als unzulässig erweist ( Art. 99 Abs. 1 BGG ). Abgesehen davon täte dieser Sachverhalt, selbst wenn er zuträfe bzw. festgestellt wäre, nichts zur Sache. Soweit die Pfändung aufgrund des dortigen Wohnsitzes in Liechtenstein hätte stattfinden müssen, würden die Anschlussrechte anderer Gläubiger gemäss der vorstehend zitierten Rechtsprechung ausser Betracht fallen, weshalb keine Drittinteressen tangiert sind.</w:t>
      </w:r>
    </w:p>
    <w:p>
      <w:r>
        <w:rPr>
          <w:b/>
        </w:rPr>
        <w:t>E. 4</w:t>
      </w:r>
    </w:p>
    <w:p>
      <w:r>
        <w:t>Zusammenfassend ergibt sich, dass die Beschwerde abzuweisen ist. Die Gerichtskosten sind bei diesem Verfahrensausgang dem Beschwerdeführer aufzuerlegen ( Art. 66 Abs. 1 BGG ). Für die Stellungnahme zum Gesuch um aufschiebende Wirkung ist keine Entschädigung geschuldet, weil sich der Beschwerdegegner nicht hat vertreten lassen und mit Präsidialverfügung vom 12. Februar 2013 entgegen dessen Antrag entschieden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